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00" w:lineRule="exact"/>
        <w:ind w:firstLine="5520" w:firstLineChars="2300"/>
        <w:rPr>
          <w:rFonts w:ascii="Arial" w:hAnsi="Arial" w:eastAsia="黑体" w:cs="Arial"/>
          <w:sz w:val="24"/>
          <w:u w:val="single"/>
        </w:rPr>
      </w:pPr>
      <w:r>
        <w:rPr>
          <w:rFonts w:ascii="Arial" w:hAnsi="Arial" w:eastAsia="黑体" w:cs="Arial"/>
          <w:sz w:val="24"/>
        </w:rPr>
        <w:t>合同编号：</w:t>
      </w:r>
      <w:r>
        <w:rPr>
          <w:rFonts w:hint="eastAsia" w:ascii="Arial" w:hAnsi="Arial" w:eastAsia="黑体" w:cs="Arial"/>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jc w:val="center"/>
        <w:rPr>
          <w:rFonts w:ascii="黑体" w:hAnsi="黑体" w:eastAsia="黑体"/>
          <w:b/>
          <w:bCs/>
          <w:sz w:val="52"/>
          <w:szCs w:val="52"/>
        </w:rPr>
      </w:pPr>
      <w:r>
        <w:rPr>
          <w:rFonts w:hint="eastAsia" w:ascii="黑体" w:hAnsi="黑体" w:eastAsia="黑体"/>
          <w:b/>
          <w:bCs/>
          <w:sz w:val="52"/>
          <w:szCs w:val="52"/>
        </w:rPr>
        <w:t>评价合同</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b/>
          <w:sz w:val="30"/>
          <w:szCs w:val="30"/>
        </w:rPr>
      </w:pPr>
      <w:r>
        <w:rPr>
          <w:rFonts w:hint="eastAsia" w:ascii="宋体" w:hAnsi="宋体"/>
          <w:b/>
          <w:sz w:val="30"/>
          <w:szCs w:val="30"/>
        </w:rPr>
        <w:t>评价项目名称      □商品售后服务评价</w:t>
      </w:r>
    </w:p>
    <w:p>
      <w:pPr>
        <w:ind w:firstLine="2695" w:firstLineChars="895"/>
        <w:rPr>
          <w:rFonts w:ascii="宋体" w:hAnsi="宋体"/>
          <w:b/>
          <w:sz w:val="30"/>
          <w:szCs w:val="30"/>
        </w:rPr>
      </w:pPr>
      <w:r>
        <w:rPr>
          <w:rFonts w:hint="eastAsia" w:ascii="宋体" w:hAnsi="宋体"/>
          <w:b/>
          <w:sz w:val="30"/>
          <w:szCs w:val="30"/>
        </w:rPr>
        <w:t>□金源企业管理水平评价</w:t>
      </w:r>
    </w:p>
    <w:p>
      <w:pPr>
        <w:ind w:firstLine="2695" w:firstLineChars="895"/>
        <w:rPr>
          <w:rFonts w:hint="eastAsia" w:ascii="宋体" w:hAnsi="宋体"/>
          <w:b/>
          <w:sz w:val="30"/>
          <w:szCs w:val="30"/>
        </w:rPr>
      </w:pPr>
      <w:r>
        <w:rPr>
          <w:rFonts w:hint="eastAsia" w:ascii="宋体" w:hAnsi="宋体"/>
          <w:b/>
          <w:sz w:val="30"/>
          <w:szCs w:val="30"/>
        </w:rPr>
        <w:t>□清洁环卫行业服务评价</w:t>
      </w:r>
    </w:p>
    <w:p>
      <w:pPr>
        <w:ind w:firstLine="2695" w:firstLineChars="895"/>
        <w:rPr>
          <w:rFonts w:ascii="宋体" w:hAnsi="宋体"/>
          <w:b/>
          <w:sz w:val="30"/>
          <w:szCs w:val="30"/>
        </w:rPr>
      </w:pPr>
      <w:r>
        <w:rPr>
          <w:rFonts w:hint="eastAsia" w:ascii="宋体" w:hAnsi="宋体"/>
          <w:b/>
          <w:sz w:val="30"/>
          <w:szCs w:val="30"/>
        </w:rPr>
        <w:t>☐物业服务评价</w:t>
      </w:r>
    </w:p>
    <w:p>
      <w:pPr>
        <w:ind w:firstLine="2695" w:firstLineChars="895"/>
        <w:rPr>
          <w:rFonts w:ascii="宋体" w:hAnsi="宋体"/>
          <w:b/>
          <w:sz w:val="30"/>
          <w:szCs w:val="30"/>
        </w:rPr>
      </w:pPr>
      <w:r>
        <w:rPr>
          <w:rFonts w:hint="eastAsia" w:ascii="宋体" w:hAnsi="宋体"/>
          <w:b/>
          <w:sz w:val="30"/>
          <w:szCs w:val="30"/>
        </w:rPr>
        <w:t>□其他评价</w:t>
      </w:r>
    </w:p>
    <w:p>
      <w:pPr>
        <w:rPr>
          <w:rFonts w:ascii="宋体" w:hAnsi="宋体"/>
          <w:sz w:val="24"/>
        </w:rPr>
      </w:pPr>
    </w:p>
    <w:p>
      <w:pPr>
        <w:rPr>
          <w:rFonts w:ascii="宋体" w:hAnsi="宋体"/>
          <w:sz w:val="24"/>
        </w:rPr>
      </w:pPr>
    </w:p>
    <w:p>
      <w:pPr>
        <w:rPr>
          <w:rFonts w:ascii="宋体" w:hAnsi="宋体"/>
          <w:b/>
          <w:bCs/>
          <w:sz w:val="32"/>
          <w:szCs w:val="32"/>
        </w:rPr>
      </w:pPr>
      <w:r>
        <w:rPr>
          <w:rFonts w:hint="eastAsia" w:ascii="宋体" w:hAnsi="宋体"/>
          <w:b/>
          <w:bCs/>
          <w:sz w:val="32"/>
          <w:szCs w:val="32"/>
        </w:rPr>
        <w:t>委托方（甲方）</w:t>
      </w:r>
      <w:r>
        <w:rPr>
          <w:rFonts w:hint="eastAsia" w:ascii="宋体" w:hAnsi="宋体"/>
          <w:b/>
          <w:bCs/>
          <w:sz w:val="32"/>
          <w:szCs w:val="32"/>
          <w:u w:val="single"/>
        </w:rPr>
        <w:t xml:space="preserve">                                     </w:t>
      </w:r>
    </w:p>
    <w:p>
      <w:pPr>
        <w:rPr>
          <w:rFonts w:ascii="宋体" w:hAnsi="宋体"/>
          <w:sz w:val="24"/>
        </w:rPr>
      </w:pPr>
    </w:p>
    <w:p>
      <w:pPr>
        <w:rPr>
          <w:rFonts w:ascii="宋体" w:hAnsi="宋体"/>
          <w:b/>
          <w:bCs/>
          <w:sz w:val="32"/>
          <w:szCs w:val="32"/>
          <w:u w:val="single"/>
        </w:rPr>
        <w:sectPr>
          <w:headerReference r:id="rId4" w:type="first"/>
          <w:footerReference r:id="rId6" w:type="first"/>
          <w:headerReference r:id="rId3" w:type="default"/>
          <w:footerReference r:id="rId5" w:type="default"/>
          <w:pgSz w:w="11906" w:h="16838"/>
          <w:pgMar w:top="1134" w:right="851" w:bottom="851" w:left="1418" w:header="567" w:footer="567" w:gutter="0"/>
          <w:cols w:space="720" w:num="1"/>
          <w:titlePg/>
          <w:docGrid w:type="lines" w:linePitch="312" w:charSpace="0"/>
        </w:sectPr>
      </w:pPr>
      <w:r>
        <w:rPr>
          <w:rFonts w:hint="eastAsia" w:ascii="宋体" w:hAnsi="宋体"/>
          <w:b/>
          <w:bCs/>
          <w:sz w:val="32"/>
          <w:szCs w:val="32"/>
        </w:rPr>
        <w:t>评价方（乙方）</w:t>
      </w:r>
      <w:r>
        <w:rPr>
          <w:rFonts w:hint="eastAsia" w:ascii="宋体" w:hAnsi="宋体"/>
          <w:b/>
          <w:bCs/>
          <w:sz w:val="32"/>
          <w:szCs w:val="32"/>
          <w:u w:val="single"/>
        </w:rPr>
        <w:t xml:space="preserve">      </w:t>
      </w:r>
      <w:r>
        <w:rPr>
          <w:rFonts w:hint="eastAsia" w:ascii="宋体" w:hAnsi="宋体"/>
          <w:b/>
          <w:bCs/>
          <w:sz w:val="32"/>
          <w:szCs w:val="32"/>
          <w:u w:val="single"/>
          <w:lang w:eastAsia="zh-CN"/>
        </w:rPr>
        <w:t>万里国际</w:t>
      </w:r>
      <w:r>
        <w:rPr>
          <w:rFonts w:hint="eastAsia" w:ascii="宋体" w:hAnsi="宋体"/>
          <w:b/>
          <w:bCs/>
          <w:sz w:val="32"/>
          <w:szCs w:val="32"/>
          <w:u w:val="single"/>
        </w:rPr>
        <w:t xml:space="preserve">认证有限公司         </w:t>
      </w:r>
    </w:p>
    <w:p>
      <w:pPr>
        <w:spacing w:before="156" w:beforeLines="50" w:after="156" w:afterLines="50"/>
        <w:ind w:firstLine="482" w:firstLineChars="200"/>
        <w:rPr>
          <w:rFonts w:ascii="黑体" w:hAnsi="黑体" w:eastAsia="黑体"/>
          <w:b/>
          <w:sz w:val="24"/>
        </w:rPr>
      </w:pPr>
      <w:r>
        <w:rPr>
          <w:rFonts w:hint="eastAsia" w:ascii="黑体" w:hAnsi="黑体" w:eastAsia="黑体"/>
          <w:b/>
          <w:bCs/>
          <w:sz w:val="24"/>
        </w:rPr>
        <w:t>依据《中华人民共和国合同法》之规定，甲乙双方就体系评价项目，经平等协商，在真实、充分地表达各自意愿的基础上，签订本合同，双方共同遵守履行</w:t>
      </w:r>
      <w:r>
        <w:rPr>
          <w:rFonts w:hint="eastAsia" w:ascii="黑体" w:hAnsi="黑体" w:eastAsia="黑体"/>
          <w:sz w:val="24"/>
        </w:rPr>
        <w:t>。</w:t>
      </w:r>
      <w:r>
        <w:rPr>
          <w:rFonts w:hint="eastAsia" w:ascii="黑体" w:hAnsi="黑体" w:eastAsia="黑体"/>
          <w:b/>
          <w:sz w:val="24"/>
        </w:rPr>
        <w:t>双方确认，在签订本合同之前，已经充分知悉并了解本合同全部定义、条款之内容。</w:t>
      </w:r>
    </w:p>
    <w:p>
      <w:pPr>
        <w:numPr>
          <w:ilvl w:val="0"/>
          <w:numId w:val="1"/>
        </w:numPr>
        <w:spacing w:before="312" w:beforeLines="100" w:after="156" w:afterLines="50"/>
        <w:rPr>
          <w:rFonts w:asciiTheme="minorEastAsia" w:hAnsiTheme="minorEastAsia" w:eastAsiaTheme="minorEastAsia"/>
          <w:b/>
          <w:bCs/>
          <w:szCs w:val="21"/>
        </w:rPr>
      </w:pPr>
      <w:r>
        <w:rPr>
          <w:rFonts w:hint="eastAsia" w:asciiTheme="minorEastAsia" w:hAnsiTheme="minorEastAsia" w:eastAsiaTheme="minorEastAsia"/>
          <w:b/>
          <w:bCs/>
          <w:szCs w:val="21"/>
        </w:rPr>
        <w:t>体系评价项目的内容和要求</w:t>
      </w:r>
    </w:p>
    <w:p>
      <w:pPr>
        <w:numPr>
          <w:ilvl w:val="1"/>
          <w:numId w:val="1"/>
        </w:numPr>
        <w:spacing w:after="156" w:afterLines="50"/>
        <w:rPr>
          <w:rFonts w:asciiTheme="minorEastAsia" w:hAnsiTheme="minorEastAsia" w:eastAsiaTheme="minorEastAsia"/>
          <w:bCs/>
          <w:szCs w:val="21"/>
        </w:rPr>
      </w:pPr>
      <w:r>
        <w:rPr>
          <w:rFonts w:hint="eastAsia" w:asciiTheme="minorEastAsia" w:hAnsiTheme="minorEastAsia" w:eastAsiaTheme="minorEastAsia"/>
          <w:bCs/>
          <w:szCs w:val="21"/>
        </w:rPr>
        <w:t>甲方向乙方申请以下体系评价：</w:t>
      </w:r>
    </w:p>
    <w:p>
      <w:pPr>
        <w:spacing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□商品售后服务评价          □金源企业管理水平评价</w:t>
      </w:r>
    </w:p>
    <w:p>
      <w:pPr>
        <w:spacing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□清洁环卫行业服务评价      </w:t>
      </w:r>
      <w:r>
        <w:rPr>
          <w:rFonts w:hint="eastAsia" w:ascii="MS Gothic" w:hAnsi="MS Gothic" w:eastAsia="MS Gothic" w:cs="MS Gothic"/>
          <w:szCs w:val="21"/>
        </w:rPr>
        <w:t>☐</w:t>
      </w:r>
      <w:r>
        <w:rPr>
          <w:rFonts w:asciiTheme="minorEastAsia" w:hAnsiTheme="minorEastAsia" w:eastAsiaTheme="minorEastAsia"/>
          <w:szCs w:val="21"/>
        </w:rPr>
        <w:t>GB/T 20647.9-2006</w:t>
      </w:r>
      <w:r>
        <w:rPr>
          <w:rFonts w:hint="eastAsia" w:asciiTheme="minorEastAsia" w:hAnsiTheme="minorEastAsia" w:eastAsiaTheme="minorEastAsia"/>
          <w:szCs w:val="21"/>
        </w:rPr>
        <w:t>物业服务    □其他评价</w:t>
      </w:r>
      <w:r>
        <w:rPr>
          <w:rFonts w:hint="eastAsia" w:asciiTheme="minorEastAsia" w:hAnsiTheme="minorEastAsia" w:eastAsiaTheme="minorEastAsia"/>
          <w:szCs w:val="21"/>
          <w:u w:val="single"/>
        </w:rPr>
        <w:t xml:space="preserve">                 </w:t>
      </w:r>
    </w:p>
    <w:p>
      <w:pPr>
        <w:spacing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甲方建立体系的依据、申请</w:t>
      </w:r>
      <w:r>
        <w:rPr>
          <w:rFonts w:hint="eastAsia" w:asciiTheme="minorEastAsia" w:hAnsiTheme="minorEastAsia" w:eastAsiaTheme="minorEastAsia"/>
          <w:bCs/>
          <w:szCs w:val="21"/>
        </w:rPr>
        <w:t>评价的</w:t>
      </w:r>
      <w:r>
        <w:rPr>
          <w:rFonts w:hint="eastAsia" w:asciiTheme="minorEastAsia" w:hAnsiTheme="minorEastAsia" w:eastAsiaTheme="minorEastAsia"/>
          <w:szCs w:val="21"/>
        </w:rPr>
        <w:t>类型等详细信息参见《评价申请书》。</w:t>
      </w:r>
    </w:p>
    <w:p>
      <w:pPr>
        <w:numPr>
          <w:ilvl w:val="1"/>
          <w:numId w:val="1"/>
        </w:numPr>
        <w:spacing w:after="156" w:afterLines="50"/>
        <w:rPr>
          <w:rFonts w:asciiTheme="minorEastAsia" w:hAnsiTheme="minorEastAsia" w:eastAsiaTheme="minorEastAsia"/>
          <w:bCs/>
          <w:szCs w:val="21"/>
        </w:rPr>
      </w:pPr>
      <w:r>
        <w:rPr>
          <w:rFonts w:hint="eastAsia" w:asciiTheme="minorEastAsia" w:hAnsiTheme="minorEastAsia" w:eastAsiaTheme="minorEastAsia"/>
          <w:bCs/>
          <w:szCs w:val="21"/>
        </w:rPr>
        <w:t>拟申请评价的体系覆盖的范围：</w:t>
      </w:r>
      <w:r>
        <w:rPr>
          <w:rFonts w:hint="eastAsia" w:asciiTheme="minorEastAsia" w:hAnsiTheme="minorEastAsia" w:eastAsiaTheme="minorEastAsia"/>
          <w:bCs/>
          <w:szCs w:val="21"/>
          <w:u w:val="single"/>
        </w:rPr>
        <w:t xml:space="preserve">                                                        </w:t>
      </w:r>
    </w:p>
    <w:p>
      <w:pPr>
        <w:spacing w:after="156" w:afterLines="50"/>
        <w:rPr>
          <w:rFonts w:asciiTheme="minorEastAsia" w:hAnsiTheme="minorEastAsia" w:eastAsiaTheme="minorEastAsia"/>
          <w:bCs/>
          <w:szCs w:val="21"/>
          <w:u w:val="single"/>
        </w:rPr>
      </w:pPr>
      <w:r>
        <w:rPr>
          <w:rFonts w:hint="eastAsia" w:asciiTheme="minorEastAsia" w:hAnsiTheme="minorEastAsia" w:eastAsiaTheme="minorEastAsia"/>
          <w:bCs/>
          <w:szCs w:val="21"/>
          <w:u w:val="single"/>
        </w:rPr>
        <w:t xml:space="preserve">                                                                                            </w:t>
      </w:r>
    </w:p>
    <w:p>
      <w:pPr>
        <w:spacing w:after="156" w:afterLines="50"/>
        <w:rPr>
          <w:rFonts w:asciiTheme="minorEastAsia" w:hAnsiTheme="minorEastAsia" w:eastAsiaTheme="minorEastAsia"/>
          <w:szCs w:val="21"/>
        </w:rPr>
      </w:pPr>
      <w:r>
        <w:rPr>
          <w:rFonts w:hint="eastAsia" w:asciiTheme="minorEastAsia" w:hAnsiTheme="minorEastAsia" w:eastAsiaTheme="minorEastAsia"/>
          <w:bCs/>
          <w:szCs w:val="21"/>
          <w:u w:val="single"/>
        </w:rPr>
        <w:t xml:space="preserve">                                                                                            </w:t>
      </w:r>
    </w:p>
    <w:p>
      <w:pPr>
        <w:spacing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注：评价证书中的评价范围、过程等内容将以现场评价最终确认的内容为准。</w:t>
      </w:r>
    </w:p>
    <w:p>
      <w:pPr>
        <w:numPr>
          <w:ilvl w:val="1"/>
          <w:numId w:val="1"/>
        </w:numPr>
        <w:spacing w:after="156" w:afterLines="50"/>
        <w:rPr>
          <w:rFonts w:asciiTheme="minorEastAsia" w:hAnsiTheme="minorEastAsia" w:eastAsiaTheme="minorEastAsia"/>
          <w:bCs/>
          <w:szCs w:val="21"/>
        </w:rPr>
      </w:pPr>
      <w:r>
        <w:rPr>
          <w:rFonts w:hint="eastAsia" w:asciiTheme="minorEastAsia" w:hAnsiTheme="minorEastAsia" w:eastAsiaTheme="minorEastAsia"/>
          <w:bCs/>
          <w:szCs w:val="21"/>
        </w:rPr>
        <w:t>甲方体系覆盖的总人数：</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 xml:space="preserve"> ，甲方总人数：</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w:t>
      </w:r>
    </w:p>
    <w:p>
      <w:pPr>
        <w:numPr>
          <w:ilvl w:val="0"/>
          <w:numId w:val="1"/>
        </w:numPr>
        <w:spacing w:before="312" w:beforeLines="100" w:after="156" w:afterLines="50"/>
        <w:rPr>
          <w:rFonts w:asciiTheme="minorEastAsia" w:hAnsiTheme="minorEastAsia" w:eastAsiaTheme="minorEastAsia"/>
          <w:b/>
          <w:bCs/>
          <w:szCs w:val="21"/>
        </w:rPr>
      </w:pPr>
      <w:r>
        <w:rPr>
          <w:rFonts w:hint="eastAsia" w:asciiTheme="minorEastAsia" w:hAnsiTheme="minorEastAsia" w:eastAsiaTheme="minorEastAsia"/>
          <w:b/>
          <w:bCs/>
          <w:szCs w:val="21"/>
        </w:rPr>
        <w:t>体系评价项目的实施</w:t>
      </w:r>
    </w:p>
    <w:p>
      <w:pPr>
        <w:numPr>
          <w:ilvl w:val="1"/>
          <w:numId w:val="1"/>
        </w:numPr>
        <w:spacing w:after="156" w:afterLines="50"/>
        <w:rPr>
          <w:rFonts w:asciiTheme="minorEastAsia" w:hAnsiTheme="minorEastAsia" w:eastAsiaTheme="minorEastAsia"/>
          <w:bCs/>
          <w:szCs w:val="21"/>
        </w:rPr>
      </w:pPr>
      <w:r>
        <w:rPr>
          <w:rFonts w:hint="eastAsia" w:asciiTheme="minorEastAsia" w:hAnsiTheme="minorEastAsia" w:eastAsiaTheme="minorEastAsia"/>
          <w:bCs/>
          <w:szCs w:val="21"/>
        </w:rPr>
        <w:t>乙方按</w:t>
      </w:r>
      <w:r>
        <w:rPr>
          <w:rFonts w:hint="eastAsia" w:asciiTheme="minorEastAsia" w:hAnsiTheme="minorEastAsia" w:eastAsiaTheme="minorEastAsia"/>
          <w:szCs w:val="21"/>
        </w:rPr>
        <w:t>评价程序对甲方进行评价，在确认体系符合合同约定的评价依据后，为甲方办理评价注册，颁发或换发体系评价证书,证书有效期自颁</w:t>
      </w:r>
      <w:r>
        <w:rPr>
          <w:rFonts w:hint="eastAsia" w:asciiTheme="minorEastAsia" w:hAnsiTheme="minorEastAsia" w:eastAsiaTheme="minorEastAsia"/>
          <w:bCs/>
          <w:szCs w:val="21"/>
        </w:rPr>
        <w:t>发之日起三年。</w:t>
      </w:r>
    </w:p>
    <w:p>
      <w:pPr>
        <w:numPr>
          <w:ilvl w:val="1"/>
          <w:numId w:val="1"/>
        </w:numPr>
        <w:spacing w:after="156" w:afterLines="50"/>
        <w:rPr>
          <w:rFonts w:asciiTheme="minorEastAsia" w:hAnsiTheme="minorEastAsia" w:eastAsiaTheme="minorEastAsia"/>
          <w:bCs/>
          <w:szCs w:val="21"/>
        </w:rPr>
      </w:pPr>
      <w:r>
        <w:rPr>
          <w:rFonts w:hint="eastAsia" w:asciiTheme="minorEastAsia" w:hAnsiTheme="minorEastAsia" w:eastAsiaTheme="minorEastAsia"/>
          <w:bCs/>
          <w:szCs w:val="21"/>
        </w:rPr>
        <w:t>甲方在乙</w:t>
      </w:r>
      <w:r>
        <w:rPr>
          <w:rFonts w:hint="eastAsia" w:asciiTheme="minorEastAsia" w:hAnsiTheme="minorEastAsia" w:eastAsiaTheme="minorEastAsia"/>
          <w:szCs w:val="21"/>
        </w:rPr>
        <w:t>方《评价计划》上</w:t>
      </w:r>
      <w:r>
        <w:rPr>
          <w:rFonts w:hint="eastAsia" w:asciiTheme="minorEastAsia" w:hAnsiTheme="minorEastAsia" w:eastAsiaTheme="minorEastAsia"/>
          <w:bCs/>
          <w:szCs w:val="21"/>
        </w:rPr>
        <w:t>的签字作为对合同履行的确认。</w:t>
      </w:r>
    </w:p>
    <w:p>
      <w:pPr>
        <w:numPr>
          <w:ilvl w:val="1"/>
          <w:numId w:val="1"/>
        </w:numPr>
        <w:spacing w:after="156" w:afterLines="50"/>
        <w:rPr>
          <w:rFonts w:asciiTheme="minorEastAsia" w:hAnsiTheme="minorEastAsia" w:eastAsiaTheme="minorEastAsia"/>
          <w:bCs/>
          <w:szCs w:val="21"/>
        </w:rPr>
      </w:pPr>
      <w:r>
        <w:rPr>
          <w:rFonts w:hint="eastAsia" w:asciiTheme="minorEastAsia" w:hAnsiTheme="minorEastAsia" w:eastAsiaTheme="minorEastAsia"/>
          <w:bCs/>
          <w:szCs w:val="21"/>
        </w:rPr>
        <w:t>现场评价应在甲方体系覆盖的活动处于正常运行期间进行，其中：</w:t>
      </w:r>
    </w:p>
    <w:p>
      <w:pPr>
        <w:numPr>
          <w:ilvl w:val="2"/>
          <w:numId w:val="1"/>
        </w:numPr>
        <w:spacing w:after="156" w:afterLines="50"/>
        <w:rPr>
          <w:rFonts w:asciiTheme="minorEastAsia" w:hAnsiTheme="minorEastAsia" w:eastAsiaTheme="minorEastAsia"/>
          <w:bCs/>
          <w:szCs w:val="21"/>
        </w:rPr>
      </w:pPr>
      <w:r>
        <w:rPr>
          <w:rFonts w:hint="eastAsia" w:asciiTheme="minorEastAsia" w:hAnsiTheme="minorEastAsia" w:eastAsiaTheme="minorEastAsia"/>
          <w:bCs/>
          <w:szCs w:val="21"/>
        </w:rPr>
        <w:t>初审：第一阶段评价前，体系有效运行不少于3个月。</w:t>
      </w:r>
    </w:p>
    <w:p>
      <w:pPr>
        <w:numPr>
          <w:ilvl w:val="2"/>
          <w:numId w:val="1"/>
        </w:numPr>
        <w:spacing w:after="156" w:afterLines="50"/>
        <w:rPr>
          <w:rFonts w:asciiTheme="minorEastAsia" w:hAnsiTheme="minorEastAsia" w:eastAsiaTheme="minorEastAsia"/>
          <w:bCs/>
          <w:szCs w:val="21"/>
        </w:rPr>
      </w:pPr>
      <w:r>
        <w:rPr>
          <w:rFonts w:hint="eastAsia" w:asciiTheme="minorEastAsia" w:hAnsiTheme="minorEastAsia" w:eastAsiaTheme="minorEastAsia"/>
          <w:bCs/>
          <w:szCs w:val="21"/>
        </w:rPr>
        <w:t>监</w:t>
      </w:r>
      <w:r>
        <w:rPr>
          <w:rFonts w:hint="eastAsia" w:asciiTheme="minorEastAsia" w:hAnsiTheme="minorEastAsia" w:eastAsiaTheme="minorEastAsia"/>
          <w:szCs w:val="21"/>
        </w:rPr>
        <w:t>督评价</w:t>
      </w:r>
      <w:r>
        <w:rPr>
          <w:rFonts w:hint="eastAsia" w:asciiTheme="minorEastAsia" w:hAnsiTheme="minorEastAsia" w:eastAsiaTheme="minorEastAsia"/>
          <w:bCs/>
          <w:szCs w:val="21"/>
        </w:rPr>
        <w:t>：</w:t>
      </w:r>
    </w:p>
    <w:p>
      <w:pPr>
        <w:numPr>
          <w:ilvl w:val="3"/>
          <w:numId w:val="1"/>
        </w:numPr>
        <w:spacing w:after="156" w:afterLines="50"/>
        <w:rPr>
          <w:rFonts w:asciiTheme="minorEastAsia" w:hAnsiTheme="minorEastAsia" w:eastAsiaTheme="minorEastAsia"/>
          <w:bCs/>
          <w:szCs w:val="21"/>
        </w:rPr>
      </w:pPr>
      <w:r>
        <w:rPr>
          <w:rFonts w:hint="eastAsia" w:asciiTheme="minorEastAsia" w:hAnsiTheme="minorEastAsia" w:eastAsiaTheme="minorEastAsia"/>
          <w:bCs/>
          <w:szCs w:val="21"/>
        </w:rPr>
        <w:t>第一次监</w:t>
      </w:r>
      <w:r>
        <w:rPr>
          <w:rFonts w:hint="eastAsia" w:asciiTheme="minorEastAsia" w:hAnsiTheme="minorEastAsia" w:eastAsiaTheme="minorEastAsia"/>
          <w:szCs w:val="21"/>
        </w:rPr>
        <w:t>督评价建议在第二阶段评价或再评价最后一天起10-12个月内进行，最晚应在评价证书签发日起12个月内进行；</w:t>
      </w:r>
    </w:p>
    <w:p>
      <w:pPr>
        <w:numPr>
          <w:ilvl w:val="3"/>
          <w:numId w:val="1"/>
        </w:numPr>
        <w:spacing w:after="156" w:afterLines="50"/>
        <w:rPr>
          <w:rFonts w:asciiTheme="minorEastAsia" w:hAnsiTheme="minorEastAsia" w:eastAsiaTheme="minorEastAsia"/>
          <w:szCs w:val="21"/>
        </w:rPr>
      </w:pPr>
      <w:r>
        <w:rPr>
          <w:rFonts w:hint="eastAsia" w:asciiTheme="minorEastAsia" w:hAnsiTheme="minorEastAsia" w:eastAsiaTheme="minorEastAsia"/>
          <w:szCs w:val="21"/>
        </w:rPr>
        <w:t>第二次监督评价应在第一次监督评价最后一天起12个月内进行。当甲方因停产、搬迁等原因不能在12个月之内进行相应的监督评价时，至少应在每个日历年进行一次监督评价，两次监督评价的时间间隔不得超过15个月。</w:t>
      </w:r>
    </w:p>
    <w:p>
      <w:pPr>
        <w:numPr>
          <w:ilvl w:val="3"/>
          <w:numId w:val="1"/>
        </w:numPr>
        <w:spacing w:after="156" w:afterLines="50"/>
        <w:rPr>
          <w:rFonts w:asciiTheme="minorEastAsia" w:hAnsiTheme="minorEastAsia" w:eastAsiaTheme="minorEastAsia"/>
          <w:szCs w:val="21"/>
        </w:rPr>
      </w:pPr>
      <w:r>
        <w:rPr>
          <w:rFonts w:hint="eastAsia" w:asciiTheme="minorEastAsia" w:hAnsiTheme="minorEastAsia" w:eastAsiaTheme="minorEastAsia"/>
          <w:szCs w:val="21"/>
        </w:rPr>
        <w:t>如甲方未按期接受乙方的监督评价，乙方将暂停甲方使用评价证书及标识。</w:t>
      </w:r>
    </w:p>
    <w:p>
      <w:pPr>
        <w:numPr>
          <w:ilvl w:val="2"/>
          <w:numId w:val="1"/>
        </w:numPr>
        <w:spacing w:after="156" w:afterLines="50"/>
        <w:rPr>
          <w:rFonts w:asciiTheme="minorEastAsia" w:hAnsiTheme="minorEastAsia" w:eastAsiaTheme="minorEastAsia"/>
          <w:bCs/>
          <w:szCs w:val="21"/>
        </w:rPr>
      </w:pPr>
      <w:r>
        <w:rPr>
          <w:rFonts w:hint="eastAsia" w:asciiTheme="minorEastAsia" w:hAnsiTheme="minorEastAsia" w:eastAsiaTheme="minorEastAsia"/>
          <w:bCs/>
          <w:szCs w:val="21"/>
        </w:rPr>
        <w:t>再评价：在评价证书有效期期满前进行，甲方应至少在评价证书到期前3个月按照本合同要求提出申请、缴纳评价费用，甲方应确保符合评价条件，以确保完成评价批准。因甲方未按期履行上述义务导致评价无法批准的，乙方不承担任何责任。</w:t>
      </w:r>
    </w:p>
    <w:p>
      <w:pPr>
        <w:numPr>
          <w:ilvl w:val="3"/>
          <w:numId w:val="1"/>
        </w:numPr>
        <w:spacing w:after="156" w:afterLines="50"/>
        <w:rPr>
          <w:rFonts w:asciiTheme="minorEastAsia" w:hAnsiTheme="minorEastAsia" w:eastAsiaTheme="minorEastAsia"/>
          <w:bCs/>
          <w:szCs w:val="21"/>
        </w:rPr>
      </w:pPr>
      <w:r>
        <w:rPr>
          <w:rFonts w:hint="eastAsia" w:asciiTheme="minorEastAsia" w:hAnsiTheme="minorEastAsia" w:eastAsiaTheme="minorEastAsia"/>
          <w:bCs/>
          <w:szCs w:val="21"/>
        </w:rPr>
        <w:t>再评价应在第二次监督评价最后一天起12个月内进行。当甲方因停产、搬迁等原因不能在12个月之内进行相应的再评价时，至少应在相应的日历年内完成评价，但无论如何，再评价的结束日期不能超过当前评价终止日期。</w:t>
      </w:r>
    </w:p>
    <w:p>
      <w:pPr>
        <w:numPr>
          <w:ilvl w:val="3"/>
          <w:numId w:val="1"/>
        </w:numPr>
        <w:spacing w:after="156" w:afterLines="50"/>
        <w:rPr>
          <w:rFonts w:asciiTheme="minorEastAsia" w:hAnsiTheme="minorEastAsia" w:eastAsiaTheme="minorEastAsia"/>
          <w:bCs/>
          <w:szCs w:val="21"/>
        </w:rPr>
      </w:pPr>
      <w:r>
        <w:rPr>
          <w:rFonts w:hint="eastAsia" w:asciiTheme="minorEastAsia" w:hAnsiTheme="minorEastAsia" w:eastAsiaTheme="minorEastAsia"/>
          <w:bCs/>
          <w:szCs w:val="21"/>
        </w:rPr>
        <w:t>如甲方未按期接受乙方的再评价，乙方将暂停甲方使用评价证书及标识。</w:t>
      </w:r>
    </w:p>
    <w:p>
      <w:pPr>
        <w:numPr>
          <w:ilvl w:val="0"/>
          <w:numId w:val="1"/>
        </w:numPr>
        <w:spacing w:after="156" w:afterLines="50"/>
        <w:rPr>
          <w:rFonts w:asciiTheme="minorEastAsia" w:hAnsiTheme="minorEastAsia" w:eastAsiaTheme="minorEastAsia"/>
          <w:b/>
          <w:bCs/>
          <w:szCs w:val="21"/>
        </w:rPr>
        <w:sectPr>
          <w:headerReference r:id="rId7" w:type="first"/>
          <w:pgSz w:w="11906" w:h="16838"/>
          <w:pgMar w:top="1418" w:right="851" w:bottom="851" w:left="1418" w:header="680" w:footer="680" w:gutter="0"/>
          <w:cols w:space="720" w:num="1"/>
          <w:titlePg/>
          <w:docGrid w:type="lines" w:linePitch="312" w:charSpace="0"/>
        </w:sectPr>
      </w:pPr>
    </w:p>
    <w:p>
      <w:pPr>
        <w:numPr>
          <w:ilvl w:val="0"/>
          <w:numId w:val="1"/>
        </w:numPr>
        <w:spacing w:before="624" w:beforeLines="200" w:after="156" w:afterLines="50"/>
        <w:rPr>
          <w:rFonts w:asciiTheme="minorEastAsia" w:hAnsiTheme="minorEastAsia" w:eastAsiaTheme="minorEastAsia"/>
          <w:b/>
          <w:bCs/>
          <w:szCs w:val="21"/>
        </w:rPr>
      </w:pPr>
      <w:r>
        <w:rPr>
          <w:rFonts w:hint="eastAsia" w:asciiTheme="minorEastAsia" w:hAnsiTheme="minorEastAsia" w:eastAsiaTheme="minorEastAsia"/>
          <w:b/>
          <w:bCs/>
          <w:szCs w:val="21"/>
        </w:rPr>
        <w:t>项目费用</w:t>
      </w:r>
    </w:p>
    <w:p>
      <w:pPr>
        <w:numPr>
          <w:ilvl w:val="1"/>
          <w:numId w:val="1"/>
        </w:numPr>
        <w:spacing w:after="156" w:afterLines="50"/>
        <w:rPr>
          <w:rFonts w:asciiTheme="minorEastAsia" w:hAnsiTheme="minorEastAsia" w:eastAsiaTheme="minorEastAsia"/>
          <w:bCs/>
          <w:szCs w:val="21"/>
        </w:rPr>
      </w:pPr>
      <w:r>
        <w:rPr>
          <w:rFonts w:hint="eastAsia" w:asciiTheme="minorEastAsia" w:hAnsiTheme="minorEastAsia" w:eastAsiaTheme="minorEastAsia"/>
          <w:bCs/>
          <w:szCs w:val="21"/>
        </w:rPr>
        <w:t>甲方应向乙方交付以下费用。</w:t>
      </w:r>
    </w:p>
    <w:p>
      <w:pPr>
        <w:numPr>
          <w:ilvl w:val="2"/>
          <w:numId w:val="1"/>
        </w:numPr>
        <w:spacing w:after="156" w:afterLines="50"/>
        <w:rPr>
          <w:rFonts w:asciiTheme="minorEastAsia" w:hAnsiTheme="minorEastAsia" w:eastAsiaTheme="minorEastAsia"/>
          <w:bCs/>
          <w:szCs w:val="21"/>
        </w:rPr>
      </w:pPr>
      <w:r>
        <w:rPr>
          <w:rFonts w:hint="eastAsia" w:asciiTheme="minorEastAsia" w:hAnsiTheme="minorEastAsia" w:eastAsiaTheme="minorEastAsia"/>
          <w:bCs/>
          <w:szCs w:val="21"/>
        </w:rPr>
        <w:t>获取证书的费用（初审）:</w:t>
      </w:r>
    </w:p>
    <w:p>
      <w:pPr>
        <w:numPr>
          <w:ilvl w:val="3"/>
          <w:numId w:val="1"/>
        </w:numPr>
        <w:spacing w:after="156" w:afterLines="50"/>
        <w:rPr>
          <w:rFonts w:asciiTheme="minorEastAsia" w:hAnsiTheme="minorEastAsia" w:eastAsiaTheme="minorEastAsia"/>
          <w:bCs/>
          <w:szCs w:val="21"/>
        </w:rPr>
      </w:pPr>
      <w:r>
        <w:rPr>
          <w:rFonts w:hint="eastAsia" w:asciiTheme="minorEastAsia" w:hAnsiTheme="minorEastAsia" w:eastAsiaTheme="minorEastAsia"/>
          <w:bCs/>
          <w:szCs w:val="21"/>
        </w:rPr>
        <w:t>申请费：     元/次                           计</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元</w:t>
      </w:r>
    </w:p>
    <w:p>
      <w:pPr>
        <w:numPr>
          <w:ilvl w:val="3"/>
          <w:numId w:val="1"/>
        </w:numPr>
        <w:spacing w:after="156" w:afterLines="50"/>
        <w:rPr>
          <w:rFonts w:asciiTheme="minorEastAsia" w:hAnsiTheme="minorEastAsia" w:eastAsiaTheme="minorEastAsia"/>
          <w:bCs/>
          <w:szCs w:val="21"/>
        </w:rPr>
      </w:pPr>
      <w:r>
        <w:rPr>
          <w:rFonts w:hint="eastAsia" w:asciiTheme="minorEastAsia" w:hAnsiTheme="minorEastAsia" w:eastAsiaTheme="minorEastAsia"/>
          <w:bCs/>
          <w:szCs w:val="21"/>
        </w:rPr>
        <w:t>审定与注册费：</w:t>
      </w:r>
      <w:r>
        <w:rPr>
          <w:rFonts w:hint="eastAsia" w:asciiTheme="minorEastAsia" w:hAnsiTheme="minorEastAsia" w:eastAsiaTheme="minorEastAsia"/>
          <w:bCs/>
          <w:szCs w:val="21"/>
          <w:lang w:val="en-US" w:eastAsia="zh-CN"/>
        </w:rPr>
        <w:t xml:space="preserve">  </w:t>
      </w:r>
      <w:r>
        <w:rPr>
          <w:rFonts w:hint="eastAsia" w:asciiTheme="minorEastAsia" w:hAnsiTheme="minorEastAsia" w:eastAsiaTheme="minorEastAsia"/>
          <w:bCs/>
          <w:szCs w:val="21"/>
        </w:rPr>
        <w:t>元/体系（含中英文正本证书一套） 计</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元</w:t>
      </w:r>
    </w:p>
    <w:p>
      <w:pPr>
        <w:numPr>
          <w:ilvl w:val="3"/>
          <w:numId w:val="1"/>
        </w:numPr>
        <w:spacing w:after="156" w:afterLines="50"/>
        <w:rPr>
          <w:rFonts w:asciiTheme="minorEastAsia" w:hAnsiTheme="minorEastAsia" w:eastAsiaTheme="minorEastAsia"/>
          <w:bCs/>
          <w:szCs w:val="21"/>
        </w:rPr>
      </w:pPr>
      <w:r>
        <w:rPr>
          <w:rFonts w:hint="eastAsia" w:asciiTheme="minorEastAsia" w:hAnsiTheme="minorEastAsia" w:eastAsiaTheme="minorEastAsia"/>
          <w:bCs/>
          <w:szCs w:val="21"/>
        </w:rPr>
        <w:t>评价费：                                           计</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元</w:t>
      </w:r>
    </w:p>
    <w:p>
      <w:pPr>
        <w:numPr>
          <w:ilvl w:val="3"/>
          <w:numId w:val="1"/>
        </w:numPr>
        <w:spacing w:after="156" w:afterLines="50"/>
        <w:rPr>
          <w:rFonts w:asciiTheme="minorEastAsia" w:hAnsiTheme="minorEastAsia" w:eastAsiaTheme="minorEastAsia"/>
          <w:bCs/>
          <w:szCs w:val="21"/>
        </w:rPr>
      </w:pPr>
      <w:r>
        <w:rPr>
          <w:rFonts w:hint="eastAsia" w:asciiTheme="minorEastAsia" w:hAnsiTheme="minorEastAsia" w:eastAsiaTheme="minorEastAsia"/>
          <w:bCs/>
          <w:szCs w:val="21"/>
        </w:rPr>
        <w:t>副本及子证书费：中或英文</w:t>
      </w:r>
      <w:r>
        <w:rPr>
          <w:rFonts w:hint="eastAsia" w:asciiTheme="minorEastAsia" w:hAnsiTheme="minorEastAsia" w:eastAsiaTheme="minorEastAsia"/>
          <w:bCs/>
          <w:szCs w:val="21"/>
          <w:lang w:val="en-US" w:eastAsia="zh-CN"/>
        </w:rPr>
        <w:t xml:space="preserve">  </w:t>
      </w:r>
      <w:r>
        <w:rPr>
          <w:rFonts w:hint="eastAsia" w:asciiTheme="minorEastAsia" w:hAnsiTheme="minorEastAsia" w:eastAsiaTheme="minorEastAsia"/>
          <w:bCs/>
          <w:szCs w:val="21"/>
        </w:rPr>
        <w:t>元/张                  计</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元</w:t>
      </w:r>
    </w:p>
    <w:p>
      <w:pPr>
        <w:spacing w:after="156" w:afterLines="50"/>
        <w:ind w:firstLine="420" w:firstLineChars="200"/>
        <w:rPr>
          <w:rFonts w:cs="Arial" w:asciiTheme="minorEastAsia" w:hAnsiTheme="minorEastAsia" w:eastAsiaTheme="minorEastAsia"/>
          <w:szCs w:val="21"/>
        </w:rPr>
      </w:pPr>
      <w:r>
        <w:rPr>
          <w:rFonts w:cs="Arial" w:asciiTheme="minorEastAsia" w:hAnsiTheme="minorEastAsia" w:eastAsiaTheme="minorEastAsia"/>
          <w:szCs w:val="21"/>
        </w:rPr>
        <w:t>上述</w:t>
      </w:r>
      <w:r>
        <w:rPr>
          <w:rFonts w:hint="eastAsia" w:cs="Arial" w:asciiTheme="minorEastAsia" w:hAnsiTheme="minorEastAsia" w:eastAsiaTheme="minorEastAsia"/>
          <w:szCs w:val="21"/>
        </w:rPr>
        <w:t>四</w:t>
      </w:r>
      <w:r>
        <w:rPr>
          <w:rFonts w:cs="Arial" w:asciiTheme="minorEastAsia" w:hAnsiTheme="minorEastAsia" w:eastAsiaTheme="minorEastAsia"/>
          <w:szCs w:val="21"/>
        </w:rPr>
        <w:t>项费用合计大写：</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万</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仟</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佰</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拾</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元 (¥</w:t>
      </w:r>
      <w:r>
        <w:rPr>
          <w:rFonts w:cs="Arial" w:asciiTheme="minorEastAsia" w:hAnsiTheme="minorEastAsia" w:eastAsiaTheme="minorEastAsia"/>
          <w:szCs w:val="21"/>
          <w:u w:val="single"/>
        </w:rPr>
        <w:t xml:space="preserve">    </w:t>
      </w:r>
      <w:r>
        <w:rPr>
          <w:rFonts w:hint="eastAsia" w:cs="Arial" w:asciiTheme="minorEastAsia" w:hAnsiTheme="minorEastAsia" w:eastAsiaTheme="minorEastAsia"/>
          <w:szCs w:val="21"/>
          <w:u w:val="single"/>
        </w:rPr>
        <w:t xml:space="preserve">  </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元)</w:t>
      </w:r>
      <w:r>
        <w:rPr>
          <w:rFonts w:hint="eastAsia" w:cs="Arial" w:asciiTheme="minorEastAsia" w:hAnsiTheme="minorEastAsia" w:eastAsiaTheme="minorEastAsia"/>
          <w:szCs w:val="21"/>
        </w:rPr>
        <w:t>，自</w:t>
      </w:r>
      <w:r>
        <w:rPr>
          <w:rFonts w:cs="Arial" w:asciiTheme="minorEastAsia" w:hAnsiTheme="minorEastAsia" w:eastAsiaTheme="minorEastAsia"/>
          <w:szCs w:val="21"/>
        </w:rPr>
        <w:t>签订评价合同之日</w:t>
      </w:r>
      <w:r>
        <w:rPr>
          <w:rFonts w:hint="eastAsia" w:cs="Arial" w:asciiTheme="minorEastAsia" w:hAnsiTheme="minorEastAsia" w:eastAsiaTheme="minorEastAsia"/>
          <w:szCs w:val="21"/>
        </w:rPr>
        <w:t>起五个工作日内</w:t>
      </w:r>
      <w:r>
        <w:rPr>
          <w:rFonts w:cs="Arial" w:asciiTheme="minorEastAsia" w:hAnsiTheme="minorEastAsia" w:eastAsiaTheme="minorEastAsia"/>
          <w:szCs w:val="21"/>
        </w:rPr>
        <w:t>，甲方需将以上费用支付给乙方。</w:t>
      </w:r>
    </w:p>
    <w:p>
      <w:pPr>
        <w:numPr>
          <w:ilvl w:val="2"/>
          <w:numId w:val="1"/>
        </w:numPr>
        <w:spacing w:after="156" w:afterLines="50"/>
        <w:rPr>
          <w:rFonts w:asciiTheme="minorEastAsia" w:hAnsiTheme="minorEastAsia" w:eastAsiaTheme="minorEastAsia"/>
          <w:bCs/>
          <w:szCs w:val="21"/>
        </w:rPr>
      </w:pPr>
      <w:r>
        <w:rPr>
          <w:rFonts w:hint="eastAsia" w:asciiTheme="minorEastAsia" w:hAnsiTheme="minorEastAsia" w:eastAsiaTheme="minorEastAsia"/>
          <w:bCs/>
          <w:szCs w:val="21"/>
        </w:rPr>
        <w:t>每年保持证书费用（监督）:</w:t>
      </w:r>
    </w:p>
    <w:p>
      <w:pPr>
        <w:numPr>
          <w:ilvl w:val="3"/>
          <w:numId w:val="1"/>
        </w:numPr>
        <w:spacing w:after="156" w:afterLines="50"/>
        <w:rPr>
          <w:rFonts w:asciiTheme="minorEastAsia" w:hAnsiTheme="minorEastAsia" w:eastAsiaTheme="minorEastAsia"/>
          <w:bCs/>
          <w:szCs w:val="21"/>
        </w:rPr>
      </w:pPr>
      <w:r>
        <w:rPr>
          <w:rFonts w:hint="eastAsia" w:asciiTheme="minorEastAsia" w:hAnsiTheme="minorEastAsia" w:eastAsiaTheme="minorEastAsia"/>
          <w:bCs/>
          <w:szCs w:val="21"/>
        </w:rPr>
        <w:t xml:space="preserve">年金：        </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元/体系                         计</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元</w:t>
      </w:r>
    </w:p>
    <w:p>
      <w:pPr>
        <w:numPr>
          <w:ilvl w:val="3"/>
          <w:numId w:val="1"/>
        </w:numPr>
        <w:spacing w:after="156" w:afterLines="50"/>
        <w:rPr>
          <w:rFonts w:asciiTheme="minorEastAsia" w:hAnsiTheme="minorEastAsia" w:eastAsiaTheme="minorEastAsia"/>
          <w:bCs/>
          <w:szCs w:val="21"/>
        </w:rPr>
      </w:pPr>
      <w:r>
        <w:rPr>
          <w:rFonts w:hint="eastAsia" w:asciiTheme="minorEastAsia" w:hAnsiTheme="minorEastAsia" w:eastAsiaTheme="minorEastAsia"/>
          <w:bCs/>
          <w:szCs w:val="21"/>
        </w:rPr>
        <w:t>评价费：                                           计</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元</w:t>
      </w:r>
    </w:p>
    <w:p>
      <w:pPr>
        <w:spacing w:after="156" w:afterLines="50"/>
        <w:ind w:firstLine="420" w:firstLineChars="200"/>
        <w:rPr>
          <w:rFonts w:cs="Arial" w:asciiTheme="minorEastAsia" w:hAnsiTheme="minorEastAsia" w:eastAsiaTheme="minorEastAsia"/>
          <w:szCs w:val="21"/>
        </w:rPr>
      </w:pPr>
      <w:r>
        <w:rPr>
          <w:rFonts w:cs="Arial" w:asciiTheme="minorEastAsia" w:hAnsiTheme="minorEastAsia" w:eastAsiaTheme="minorEastAsia"/>
          <w:szCs w:val="21"/>
        </w:rPr>
        <w:t>上述</w:t>
      </w:r>
      <w:r>
        <w:rPr>
          <w:rFonts w:hint="eastAsia" w:cs="Arial" w:asciiTheme="minorEastAsia" w:hAnsiTheme="minorEastAsia" w:eastAsiaTheme="minorEastAsia"/>
          <w:szCs w:val="21"/>
        </w:rPr>
        <w:t>二</w:t>
      </w:r>
      <w:r>
        <w:rPr>
          <w:rFonts w:cs="Arial" w:asciiTheme="minorEastAsia" w:hAnsiTheme="minorEastAsia" w:eastAsiaTheme="minorEastAsia"/>
          <w:szCs w:val="21"/>
        </w:rPr>
        <w:t>项费用合计大写：</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万</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仟</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佰</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拾</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元 (¥</w:t>
      </w:r>
      <w:r>
        <w:rPr>
          <w:rFonts w:cs="Arial" w:asciiTheme="minorEastAsia" w:hAnsiTheme="minorEastAsia" w:eastAsiaTheme="minorEastAsia"/>
          <w:szCs w:val="21"/>
          <w:u w:val="single"/>
        </w:rPr>
        <w:t xml:space="preserve">    </w:t>
      </w:r>
      <w:r>
        <w:rPr>
          <w:rFonts w:hint="eastAsia" w:cs="Arial" w:asciiTheme="minorEastAsia" w:hAnsiTheme="minorEastAsia" w:eastAsiaTheme="minorEastAsia"/>
          <w:szCs w:val="21"/>
          <w:u w:val="single"/>
        </w:rPr>
        <w:t xml:space="preserve">  </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元)</w:t>
      </w:r>
      <w:r>
        <w:rPr>
          <w:rFonts w:hint="eastAsia" w:cs="Arial" w:asciiTheme="minorEastAsia" w:hAnsiTheme="minorEastAsia" w:eastAsiaTheme="minorEastAsia"/>
          <w:szCs w:val="21"/>
        </w:rPr>
        <w:t>，</w:t>
      </w:r>
      <w:r>
        <w:rPr>
          <w:rFonts w:cs="Arial" w:asciiTheme="minorEastAsia" w:hAnsiTheme="minorEastAsia" w:eastAsiaTheme="minorEastAsia"/>
          <w:szCs w:val="21"/>
        </w:rPr>
        <w:t>每次监督评价前一个月内</w:t>
      </w:r>
      <w:r>
        <w:rPr>
          <w:rFonts w:hint="eastAsia" w:cs="Arial" w:asciiTheme="minorEastAsia" w:hAnsiTheme="minorEastAsia" w:eastAsiaTheme="minorEastAsia"/>
          <w:szCs w:val="21"/>
        </w:rPr>
        <w:t>，</w:t>
      </w:r>
      <w:r>
        <w:rPr>
          <w:rFonts w:cs="Arial" w:asciiTheme="minorEastAsia" w:hAnsiTheme="minorEastAsia" w:eastAsiaTheme="minorEastAsia"/>
          <w:szCs w:val="21"/>
        </w:rPr>
        <w:t>甲方</w:t>
      </w:r>
      <w:r>
        <w:rPr>
          <w:rFonts w:hint="eastAsia" w:cs="Arial" w:asciiTheme="minorEastAsia" w:hAnsiTheme="minorEastAsia" w:eastAsiaTheme="minorEastAsia"/>
          <w:szCs w:val="21"/>
        </w:rPr>
        <w:t>应</w:t>
      </w:r>
      <w:r>
        <w:rPr>
          <w:rFonts w:cs="Arial" w:asciiTheme="minorEastAsia" w:hAnsiTheme="minorEastAsia" w:eastAsiaTheme="minorEastAsia"/>
          <w:szCs w:val="21"/>
        </w:rPr>
        <w:t>将以上费用一次性支付给乙方。</w:t>
      </w:r>
    </w:p>
    <w:p>
      <w:pPr>
        <w:numPr>
          <w:ilvl w:val="2"/>
          <w:numId w:val="1"/>
        </w:numPr>
        <w:spacing w:after="156" w:afterLines="50"/>
        <w:rPr>
          <w:rFonts w:asciiTheme="minorEastAsia" w:hAnsiTheme="minorEastAsia" w:eastAsiaTheme="minorEastAsia"/>
          <w:bCs/>
          <w:szCs w:val="21"/>
        </w:rPr>
      </w:pPr>
      <w:r>
        <w:rPr>
          <w:rFonts w:hint="eastAsia" w:asciiTheme="minorEastAsia" w:hAnsiTheme="minorEastAsia" w:eastAsiaTheme="minorEastAsia"/>
          <w:bCs/>
          <w:szCs w:val="21"/>
        </w:rPr>
        <w:t>再评价获取证书的费用：</w:t>
      </w:r>
    </w:p>
    <w:p>
      <w:pPr>
        <w:numPr>
          <w:ilvl w:val="3"/>
          <w:numId w:val="2"/>
        </w:numPr>
        <w:spacing w:after="156" w:afterLines="50"/>
        <w:rPr>
          <w:rFonts w:asciiTheme="minorEastAsia" w:hAnsiTheme="minorEastAsia" w:eastAsiaTheme="minorEastAsia"/>
          <w:bCs/>
          <w:szCs w:val="21"/>
        </w:rPr>
      </w:pPr>
      <w:r>
        <w:rPr>
          <w:rFonts w:hint="eastAsia" w:asciiTheme="minorEastAsia" w:hAnsiTheme="minorEastAsia" w:eastAsiaTheme="minorEastAsia"/>
          <w:bCs/>
          <w:szCs w:val="21"/>
        </w:rPr>
        <w:t>审定与注册费：</w:t>
      </w:r>
      <w:r>
        <w:rPr>
          <w:rFonts w:hint="eastAsia" w:asciiTheme="minorEastAsia" w:hAnsiTheme="minorEastAsia" w:eastAsiaTheme="minorEastAsia"/>
          <w:bCs/>
          <w:szCs w:val="21"/>
          <w:lang w:val="en-US" w:eastAsia="zh-CN"/>
        </w:rPr>
        <w:t xml:space="preserve">  </w:t>
      </w:r>
      <w:r>
        <w:rPr>
          <w:rFonts w:hint="eastAsia" w:asciiTheme="minorEastAsia" w:hAnsiTheme="minorEastAsia" w:eastAsiaTheme="minorEastAsia"/>
          <w:bCs/>
          <w:szCs w:val="21"/>
        </w:rPr>
        <w:t>元/体系（含中英文正本证书一套） 计</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元</w:t>
      </w:r>
    </w:p>
    <w:p>
      <w:pPr>
        <w:numPr>
          <w:ilvl w:val="3"/>
          <w:numId w:val="2"/>
        </w:numPr>
        <w:spacing w:after="156" w:afterLines="50"/>
        <w:rPr>
          <w:rFonts w:asciiTheme="minorEastAsia" w:hAnsiTheme="minorEastAsia" w:eastAsiaTheme="minorEastAsia"/>
          <w:bCs/>
          <w:szCs w:val="21"/>
        </w:rPr>
      </w:pPr>
      <w:r>
        <w:rPr>
          <w:rFonts w:hint="eastAsia" w:asciiTheme="minorEastAsia" w:hAnsiTheme="minorEastAsia" w:eastAsiaTheme="minorEastAsia"/>
          <w:bCs/>
          <w:szCs w:val="21"/>
        </w:rPr>
        <w:t>评价费：                                           计</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元</w:t>
      </w:r>
    </w:p>
    <w:p>
      <w:pPr>
        <w:numPr>
          <w:ilvl w:val="3"/>
          <w:numId w:val="2"/>
        </w:numPr>
        <w:spacing w:after="156" w:afterLines="50"/>
        <w:rPr>
          <w:rFonts w:asciiTheme="minorEastAsia" w:hAnsiTheme="minorEastAsia" w:eastAsiaTheme="minorEastAsia"/>
          <w:bCs/>
          <w:szCs w:val="21"/>
        </w:rPr>
      </w:pPr>
      <w:r>
        <w:rPr>
          <w:rFonts w:hint="eastAsia" w:asciiTheme="minorEastAsia" w:hAnsiTheme="minorEastAsia" w:eastAsiaTheme="minorEastAsia"/>
          <w:bCs/>
          <w:szCs w:val="21"/>
        </w:rPr>
        <w:t>副本及子证书费：中或英文</w:t>
      </w:r>
      <w:r>
        <w:rPr>
          <w:rFonts w:hint="eastAsia" w:asciiTheme="minorEastAsia" w:hAnsiTheme="minorEastAsia" w:eastAsiaTheme="minorEastAsia"/>
          <w:bCs/>
          <w:szCs w:val="21"/>
          <w:lang w:val="en-US" w:eastAsia="zh-CN"/>
        </w:rPr>
        <w:t xml:space="preserve">  </w:t>
      </w:r>
      <w:r>
        <w:rPr>
          <w:rFonts w:hint="eastAsia" w:asciiTheme="minorEastAsia" w:hAnsiTheme="minorEastAsia" w:eastAsiaTheme="minorEastAsia"/>
          <w:bCs/>
          <w:szCs w:val="21"/>
        </w:rPr>
        <w:t>元/张                  计</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元</w:t>
      </w:r>
    </w:p>
    <w:p>
      <w:pPr>
        <w:spacing w:after="156" w:afterLines="50"/>
        <w:ind w:firstLine="420" w:firstLineChars="200"/>
        <w:rPr>
          <w:rFonts w:cs="Arial" w:asciiTheme="minorEastAsia" w:hAnsiTheme="minorEastAsia" w:eastAsiaTheme="minorEastAsia"/>
          <w:szCs w:val="21"/>
        </w:rPr>
      </w:pPr>
      <w:r>
        <w:rPr>
          <w:rFonts w:cs="Arial" w:asciiTheme="minorEastAsia" w:hAnsiTheme="minorEastAsia" w:eastAsiaTheme="minorEastAsia"/>
          <w:szCs w:val="21"/>
        </w:rPr>
        <w:t>上述</w:t>
      </w:r>
      <w:r>
        <w:rPr>
          <w:rFonts w:hint="eastAsia" w:cs="Arial" w:asciiTheme="minorEastAsia" w:hAnsiTheme="minorEastAsia" w:eastAsiaTheme="minorEastAsia"/>
          <w:szCs w:val="21"/>
        </w:rPr>
        <w:t>三</w:t>
      </w:r>
      <w:r>
        <w:rPr>
          <w:rFonts w:cs="Arial" w:asciiTheme="minorEastAsia" w:hAnsiTheme="minorEastAsia" w:eastAsiaTheme="minorEastAsia"/>
          <w:szCs w:val="21"/>
        </w:rPr>
        <w:t>项费用合计大写：</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万</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仟</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佰</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拾</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元 (¥</w:t>
      </w:r>
      <w:r>
        <w:rPr>
          <w:rFonts w:cs="Arial" w:asciiTheme="minorEastAsia" w:hAnsiTheme="minorEastAsia" w:eastAsiaTheme="minorEastAsia"/>
          <w:szCs w:val="21"/>
          <w:u w:val="single"/>
        </w:rPr>
        <w:t xml:space="preserve">    </w:t>
      </w:r>
      <w:r>
        <w:rPr>
          <w:rFonts w:hint="eastAsia" w:cs="Arial" w:asciiTheme="minorEastAsia" w:hAnsiTheme="minorEastAsia" w:eastAsiaTheme="minorEastAsia"/>
          <w:szCs w:val="21"/>
          <w:u w:val="single"/>
        </w:rPr>
        <w:t xml:space="preserve">  </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元)</w:t>
      </w:r>
      <w:r>
        <w:rPr>
          <w:rFonts w:hint="eastAsia" w:cs="Arial" w:asciiTheme="minorEastAsia" w:hAnsiTheme="minorEastAsia" w:eastAsiaTheme="minorEastAsia"/>
          <w:szCs w:val="21"/>
        </w:rPr>
        <w:t>，自</w:t>
      </w:r>
      <w:r>
        <w:rPr>
          <w:rFonts w:cs="Arial" w:asciiTheme="minorEastAsia" w:hAnsiTheme="minorEastAsia" w:eastAsiaTheme="minorEastAsia"/>
          <w:szCs w:val="21"/>
        </w:rPr>
        <w:t>签订评价合同之日</w:t>
      </w:r>
      <w:r>
        <w:rPr>
          <w:rFonts w:hint="eastAsia" w:cs="Arial" w:asciiTheme="minorEastAsia" w:hAnsiTheme="minorEastAsia" w:eastAsiaTheme="minorEastAsia"/>
          <w:szCs w:val="21"/>
        </w:rPr>
        <w:t>起五个工作日内</w:t>
      </w:r>
      <w:r>
        <w:rPr>
          <w:rFonts w:cs="Arial" w:asciiTheme="minorEastAsia" w:hAnsiTheme="minorEastAsia" w:eastAsiaTheme="minorEastAsia"/>
          <w:szCs w:val="21"/>
        </w:rPr>
        <w:t>，甲方需将以上费用支付给乙方。</w:t>
      </w:r>
    </w:p>
    <w:p>
      <w:pPr>
        <w:numPr>
          <w:ilvl w:val="2"/>
          <w:numId w:val="1"/>
        </w:numPr>
        <w:spacing w:after="156" w:afterLines="50"/>
        <w:rPr>
          <w:rFonts w:asciiTheme="minorEastAsia" w:hAnsiTheme="minorEastAsia" w:eastAsiaTheme="minorEastAsia"/>
          <w:bCs/>
          <w:szCs w:val="21"/>
        </w:rPr>
      </w:pPr>
      <w:r>
        <w:rPr>
          <w:rFonts w:hint="eastAsia" w:asciiTheme="minorEastAsia" w:hAnsiTheme="minorEastAsia" w:eastAsiaTheme="minorEastAsia"/>
          <w:bCs/>
          <w:szCs w:val="21"/>
        </w:rPr>
        <w:t>其它费用：</w:t>
      </w:r>
    </w:p>
    <w:p>
      <w:pPr>
        <w:numPr>
          <w:ilvl w:val="3"/>
          <w:numId w:val="1"/>
        </w:numPr>
        <w:spacing w:after="156" w:afterLines="50"/>
        <w:rPr>
          <w:rFonts w:cs="Arial" w:asciiTheme="minorEastAsia" w:hAnsiTheme="minorEastAsia" w:eastAsiaTheme="minorEastAsia"/>
          <w:szCs w:val="21"/>
        </w:rPr>
      </w:pPr>
      <w:r>
        <w:rPr>
          <w:rFonts w:hint="eastAsia" w:cs="Arial" w:asciiTheme="minorEastAsia" w:hAnsiTheme="minorEastAsia" w:eastAsiaTheme="minorEastAsia"/>
          <w:szCs w:val="21"/>
        </w:rPr>
        <w:t>每次现场</w:t>
      </w:r>
      <w:r>
        <w:rPr>
          <w:rFonts w:cs="Arial" w:asciiTheme="minorEastAsia" w:hAnsiTheme="minorEastAsia" w:eastAsiaTheme="minorEastAsia"/>
          <w:szCs w:val="21"/>
        </w:rPr>
        <w:t>评价时，乙方派出评价组成员的食、宿及往返交通费</w:t>
      </w:r>
      <w:r>
        <w:rPr>
          <w:rFonts w:hint="eastAsia" w:cs="Arial" w:asciiTheme="minorEastAsia" w:hAnsiTheme="minorEastAsia" w:eastAsiaTheme="minorEastAsia"/>
          <w:szCs w:val="21"/>
        </w:rPr>
        <w:t>均</w:t>
      </w:r>
      <w:r>
        <w:rPr>
          <w:rFonts w:cs="Arial" w:asciiTheme="minorEastAsia" w:hAnsiTheme="minorEastAsia" w:eastAsiaTheme="minorEastAsia"/>
          <w:szCs w:val="21"/>
        </w:rPr>
        <w:t>由甲方承担。</w:t>
      </w:r>
    </w:p>
    <w:p>
      <w:pPr>
        <w:numPr>
          <w:ilvl w:val="3"/>
          <w:numId w:val="1"/>
        </w:numPr>
        <w:spacing w:after="156" w:afterLines="50"/>
        <w:rPr>
          <w:rFonts w:cs="Arial" w:asciiTheme="minorEastAsia" w:hAnsiTheme="minorEastAsia" w:eastAsiaTheme="minorEastAsia"/>
          <w:szCs w:val="21"/>
        </w:rPr>
      </w:pPr>
      <w:r>
        <w:rPr>
          <w:rFonts w:cs="Arial" w:asciiTheme="minorEastAsia" w:hAnsiTheme="minorEastAsia" w:eastAsiaTheme="minorEastAsia"/>
          <w:szCs w:val="21"/>
        </w:rPr>
        <w:t>由于甲方体系变更或其他更改以及发生重大投诉与重大质量</w:t>
      </w:r>
      <w:r>
        <w:rPr>
          <w:rFonts w:hint="eastAsia" w:cs="Arial" w:asciiTheme="minorEastAsia" w:hAnsiTheme="minorEastAsia" w:eastAsiaTheme="minorEastAsia"/>
          <w:szCs w:val="21"/>
        </w:rPr>
        <w:t>安全</w:t>
      </w:r>
      <w:r>
        <w:rPr>
          <w:rFonts w:cs="Arial" w:asciiTheme="minorEastAsia" w:hAnsiTheme="minorEastAsia" w:eastAsiaTheme="minorEastAsia"/>
          <w:szCs w:val="21"/>
        </w:rPr>
        <w:t>事故，可能影响到甲方体系持续符合评价标准时，乙方将增加监督评价次数，并适当增加评价费用</w:t>
      </w:r>
      <w:r>
        <w:rPr>
          <w:rFonts w:hint="eastAsia" w:cs="Arial" w:asciiTheme="minorEastAsia" w:hAnsiTheme="minorEastAsia" w:eastAsiaTheme="minorEastAsia"/>
          <w:szCs w:val="21"/>
        </w:rPr>
        <w:t>。</w:t>
      </w:r>
    </w:p>
    <w:p>
      <w:pPr>
        <w:numPr>
          <w:ilvl w:val="3"/>
          <w:numId w:val="1"/>
        </w:numPr>
        <w:spacing w:after="156" w:afterLines="50"/>
        <w:rPr>
          <w:rFonts w:cs="Arial" w:asciiTheme="minorEastAsia" w:hAnsiTheme="minorEastAsia" w:eastAsiaTheme="minorEastAsia"/>
          <w:szCs w:val="21"/>
        </w:rPr>
      </w:pPr>
      <w:r>
        <w:rPr>
          <w:rFonts w:cs="Arial" w:asciiTheme="minorEastAsia" w:hAnsiTheme="minorEastAsia" w:eastAsiaTheme="minorEastAsia"/>
          <w:szCs w:val="21"/>
        </w:rPr>
        <w:t>如果在现场评价时发现甲方员工人数</w:t>
      </w:r>
      <w:r>
        <w:rPr>
          <w:rFonts w:hint="eastAsia" w:cs="Arial" w:asciiTheme="minorEastAsia" w:hAnsiTheme="minorEastAsia" w:eastAsiaTheme="minorEastAsia"/>
          <w:szCs w:val="21"/>
        </w:rPr>
        <w:t>与</w:t>
      </w:r>
      <w:r>
        <w:rPr>
          <w:rFonts w:cs="Arial" w:asciiTheme="minorEastAsia" w:hAnsiTheme="minorEastAsia" w:eastAsiaTheme="minorEastAsia"/>
          <w:szCs w:val="21"/>
        </w:rPr>
        <w:t>申请书所填写的人数</w:t>
      </w:r>
      <w:r>
        <w:rPr>
          <w:rFonts w:hint="eastAsia" w:cs="Arial" w:asciiTheme="minorEastAsia" w:hAnsiTheme="minorEastAsia" w:eastAsiaTheme="minorEastAsia"/>
          <w:szCs w:val="21"/>
        </w:rPr>
        <w:t>不符或获证后评价范围发生重大变更时</w:t>
      </w:r>
      <w:r>
        <w:rPr>
          <w:rFonts w:cs="Arial" w:asciiTheme="minorEastAsia" w:hAnsiTheme="minorEastAsia" w:eastAsiaTheme="minorEastAsia"/>
          <w:szCs w:val="21"/>
        </w:rPr>
        <w:t>，乙方</w:t>
      </w:r>
      <w:r>
        <w:rPr>
          <w:rFonts w:hint="eastAsia" w:cs="Arial" w:asciiTheme="minorEastAsia" w:hAnsiTheme="minorEastAsia" w:eastAsiaTheme="minorEastAsia"/>
          <w:szCs w:val="21"/>
        </w:rPr>
        <w:t>将</w:t>
      </w:r>
      <w:r>
        <w:rPr>
          <w:rFonts w:cs="Arial" w:asciiTheme="minorEastAsia" w:hAnsiTheme="minorEastAsia" w:eastAsiaTheme="minorEastAsia"/>
          <w:szCs w:val="21"/>
        </w:rPr>
        <w:t>根据甲方实际</w:t>
      </w:r>
      <w:r>
        <w:rPr>
          <w:rFonts w:hint="eastAsia" w:cs="Arial" w:asciiTheme="minorEastAsia" w:hAnsiTheme="minorEastAsia" w:eastAsiaTheme="minorEastAsia"/>
          <w:szCs w:val="21"/>
        </w:rPr>
        <w:t>情况</w:t>
      </w:r>
      <w:r>
        <w:rPr>
          <w:rFonts w:cs="Arial" w:asciiTheme="minorEastAsia" w:hAnsiTheme="minorEastAsia" w:eastAsiaTheme="minorEastAsia"/>
          <w:szCs w:val="21"/>
        </w:rPr>
        <w:t>，</w:t>
      </w:r>
      <w:r>
        <w:rPr>
          <w:rFonts w:hint="eastAsia" w:cs="Arial" w:asciiTheme="minorEastAsia" w:hAnsiTheme="minorEastAsia" w:eastAsiaTheme="minorEastAsia"/>
          <w:szCs w:val="21"/>
        </w:rPr>
        <w:t>重新核定</w:t>
      </w:r>
      <w:r>
        <w:rPr>
          <w:rFonts w:cs="Arial" w:asciiTheme="minorEastAsia" w:hAnsiTheme="minorEastAsia" w:eastAsiaTheme="minorEastAsia"/>
          <w:szCs w:val="21"/>
        </w:rPr>
        <w:t>评价人日数</w:t>
      </w:r>
      <w:r>
        <w:rPr>
          <w:rFonts w:hint="eastAsia" w:cs="Arial" w:asciiTheme="minorEastAsia" w:hAnsiTheme="minorEastAsia" w:eastAsiaTheme="minorEastAsia"/>
          <w:szCs w:val="21"/>
        </w:rPr>
        <w:t>。由此导致评价人日数增加的，</w:t>
      </w:r>
      <w:r>
        <w:rPr>
          <w:rFonts w:cs="Arial" w:asciiTheme="minorEastAsia" w:hAnsiTheme="minorEastAsia" w:eastAsiaTheme="minorEastAsia"/>
          <w:szCs w:val="21"/>
        </w:rPr>
        <w:t>甲方</w:t>
      </w:r>
      <w:r>
        <w:rPr>
          <w:rFonts w:hint="eastAsia" w:cs="Arial" w:asciiTheme="minorEastAsia" w:hAnsiTheme="minorEastAsia" w:eastAsiaTheme="minorEastAsia"/>
          <w:szCs w:val="21"/>
        </w:rPr>
        <w:t>还</w:t>
      </w:r>
      <w:r>
        <w:rPr>
          <w:rFonts w:cs="Arial" w:asciiTheme="minorEastAsia" w:hAnsiTheme="minorEastAsia" w:eastAsiaTheme="minorEastAsia"/>
          <w:szCs w:val="21"/>
        </w:rPr>
        <w:t>需向乙方</w:t>
      </w:r>
      <w:r>
        <w:rPr>
          <w:rFonts w:hint="eastAsia" w:cs="Arial" w:asciiTheme="minorEastAsia" w:hAnsiTheme="minorEastAsia" w:eastAsiaTheme="minorEastAsia"/>
          <w:szCs w:val="21"/>
        </w:rPr>
        <w:t>补充</w:t>
      </w:r>
      <w:r>
        <w:rPr>
          <w:rFonts w:cs="Arial" w:asciiTheme="minorEastAsia" w:hAnsiTheme="minorEastAsia" w:eastAsiaTheme="minorEastAsia"/>
          <w:szCs w:val="21"/>
        </w:rPr>
        <w:t>支付</w:t>
      </w:r>
      <w:r>
        <w:rPr>
          <w:rFonts w:hint="eastAsia" w:cs="Arial" w:asciiTheme="minorEastAsia" w:hAnsiTheme="minorEastAsia" w:eastAsiaTheme="minorEastAsia"/>
          <w:szCs w:val="21"/>
        </w:rPr>
        <w:t>由于评价人日数增加所引发</w:t>
      </w:r>
      <w:r>
        <w:rPr>
          <w:rFonts w:cs="Arial" w:asciiTheme="minorEastAsia" w:hAnsiTheme="minorEastAsia" w:eastAsiaTheme="minorEastAsia"/>
          <w:szCs w:val="21"/>
        </w:rPr>
        <w:t>增加的</w:t>
      </w:r>
      <w:r>
        <w:rPr>
          <w:rFonts w:hint="eastAsia" w:cs="Arial" w:asciiTheme="minorEastAsia" w:hAnsiTheme="minorEastAsia" w:eastAsiaTheme="minorEastAsia"/>
          <w:szCs w:val="21"/>
        </w:rPr>
        <w:t>评价</w:t>
      </w:r>
      <w:r>
        <w:rPr>
          <w:rFonts w:cs="Arial" w:asciiTheme="minorEastAsia" w:hAnsiTheme="minorEastAsia" w:eastAsiaTheme="minorEastAsia"/>
          <w:szCs w:val="21"/>
        </w:rPr>
        <w:t>费用。</w:t>
      </w:r>
    </w:p>
    <w:p>
      <w:pPr>
        <w:numPr>
          <w:ilvl w:val="3"/>
          <w:numId w:val="1"/>
        </w:numPr>
        <w:spacing w:after="156" w:afterLines="50"/>
        <w:rPr>
          <w:rFonts w:cs="Arial" w:asciiTheme="minorEastAsia" w:hAnsiTheme="minorEastAsia" w:eastAsiaTheme="minorEastAsia"/>
          <w:szCs w:val="21"/>
        </w:rPr>
      </w:pPr>
      <w:r>
        <w:rPr>
          <w:rFonts w:hint="eastAsia" w:cs="Arial" w:asciiTheme="minorEastAsia" w:hAnsiTheme="minorEastAsia" w:eastAsiaTheme="minorEastAsia"/>
          <w:szCs w:val="21"/>
        </w:rPr>
        <w:t>当评价相关的国家法律法规及其他要求发生变化，导致额外增加评价工作量时，乙方将适当收取相应评价费用。</w:t>
      </w:r>
    </w:p>
    <w:p>
      <w:pPr>
        <w:numPr>
          <w:ilvl w:val="0"/>
          <w:numId w:val="1"/>
        </w:numPr>
        <w:spacing w:after="156" w:afterLines="50"/>
        <w:rPr>
          <w:rFonts w:asciiTheme="minorEastAsia" w:hAnsiTheme="minorEastAsia" w:eastAsiaTheme="minorEastAsia"/>
          <w:b/>
          <w:bCs/>
          <w:szCs w:val="21"/>
        </w:rPr>
        <w:sectPr>
          <w:pgSz w:w="11906" w:h="16838"/>
          <w:pgMar w:top="1418" w:right="851" w:bottom="851" w:left="1418" w:header="680" w:footer="680" w:gutter="0"/>
          <w:cols w:space="720" w:num="1"/>
          <w:titlePg/>
          <w:docGrid w:type="lines" w:linePitch="312" w:charSpace="0"/>
        </w:sectPr>
      </w:pPr>
    </w:p>
    <w:p>
      <w:pPr>
        <w:numPr>
          <w:ilvl w:val="0"/>
          <w:numId w:val="1"/>
        </w:numPr>
        <w:spacing w:before="312" w:beforeLines="100" w:after="156" w:afterLines="50"/>
        <w:rPr>
          <w:rFonts w:asciiTheme="minorEastAsia" w:hAnsiTheme="minorEastAsia" w:eastAsiaTheme="minorEastAsia"/>
          <w:b/>
          <w:bCs/>
          <w:szCs w:val="21"/>
        </w:rPr>
      </w:pPr>
      <w:r>
        <w:rPr>
          <w:rFonts w:hint="eastAsia" w:asciiTheme="minorEastAsia" w:hAnsiTheme="minorEastAsia" w:eastAsiaTheme="minorEastAsia"/>
          <w:b/>
          <w:bCs/>
          <w:szCs w:val="21"/>
        </w:rPr>
        <w:t>合同双方的权利和义务</w:t>
      </w:r>
    </w:p>
    <w:p>
      <w:pPr>
        <w:numPr>
          <w:ilvl w:val="1"/>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甲方的权利义务：</w:t>
      </w:r>
    </w:p>
    <w:p>
      <w:pPr>
        <w:numPr>
          <w:ilvl w:val="2"/>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权  利：</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有权在符合有关法律法规及相关要求的前提下，提出体系评价范围的要求（包括产品/服务/活动/场所）；</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有权对乙方在评价服务过程或活动中违规和损害公正性的行为提出申诉或投诉。</w:t>
      </w:r>
    </w:p>
    <w:p>
      <w:pPr>
        <w:numPr>
          <w:ilvl w:val="2"/>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义  务：</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第一阶段评价前确保体系有效运行不少于3个月，获得评价证书后持续有效运行相应的体系。</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遵守评价认可相关法律、法规和规章，对国家认监委和地方认证监督等管理部门实施的监督检查予以配合和协助，对有关事项的询问和调查如实提供相关材料和信息。</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接受乙方、认可机构等安排的非例行检查/审核、确认审核、见证评审等，并在检查/审核/评审中给予必要的配合。</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遵守乙方的有关评价规定（参见乙方网站</w:t>
      </w:r>
      <w:r>
        <w:rPr>
          <w:color w:val="0000FF"/>
        </w:rPr>
        <w:fldChar w:fldCharType="begin"/>
      </w:r>
      <w:r>
        <w:rPr>
          <w:color w:val="0000FF"/>
        </w:rPr>
        <w:instrText xml:space="preserve"> HYPERLINK "http://www.xjyrz.com/" </w:instrText>
      </w:r>
      <w:r>
        <w:rPr>
          <w:color w:val="0000FF"/>
        </w:rPr>
        <w:fldChar w:fldCharType="separate"/>
      </w:r>
      <w:r>
        <w:rPr>
          <w:rStyle w:val="12"/>
          <w:rFonts w:asciiTheme="minorEastAsia" w:hAnsiTheme="minorEastAsia" w:eastAsiaTheme="minorEastAsia"/>
          <w:bCs/>
          <w:color w:val="0000FF"/>
          <w:szCs w:val="21"/>
        </w:rPr>
        <w:t>http://www.xjyrz.com/</w:t>
      </w:r>
      <w:r>
        <w:rPr>
          <w:rStyle w:val="12"/>
          <w:rFonts w:asciiTheme="minorEastAsia" w:hAnsiTheme="minorEastAsia" w:eastAsiaTheme="minorEastAsia"/>
          <w:bCs/>
          <w:color w:val="0000FF"/>
          <w:szCs w:val="21"/>
        </w:rPr>
        <w:fldChar w:fldCharType="end"/>
      </w:r>
      <w:r>
        <w:rPr>
          <w:rFonts w:hint="eastAsia" w:asciiTheme="minorEastAsia" w:hAnsiTheme="minorEastAsia" w:eastAsiaTheme="minorEastAsia"/>
          <w:bCs/>
          <w:szCs w:val="21"/>
        </w:rPr>
        <w:t xml:space="preserve"> 所发布的公开文件），按时交纳和承担各项费用。</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保证提交资料的真实性、合法性及有效性，同时提交的体系文件应符合乙方评价的要求，甲方应根据乙方文审意见对体系文件进行修订。</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为乙方进入现场评价作出全面合理安排，包括向乙方提供为进行初次评价、监督、再评价所需要的文件，评价人员所需进入的场所（保密区域应提前向乙方书面说明），提供充分的资料证明体系运行的有效性。</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获得评价证书后，对评价信息的使用应符合以下要求：</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在传播媒介（如互联网、宣传册或广告）或其他文件中引用评价状态时，应按乙方公开文件的要求正确使用评价证书、评价标志和有关信息，就获准评价的范围作宣传；</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不做出或不允许有关于其评价资格的误导性说明；</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不以或不允许以误导性方式使用评价文件或其任何部分，不得利用体系评价证书和相关文字、符号误导公众认为其产品通过评价；</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证书暂停期间，体系评价证书暂时无效，不得使用证书和标志继续宣传评价资格；</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证书注销（证书有效期已到终止时间）或撤销时，按照乙方撤销通知和公开文件要求，立即停止使用所有引用评价资格的广告材料，并将证书归还乙方；</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在评价范围被缩小时，修改所有的广告材料；</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不允许在引用体系评价资格时，暗示乙方对产品或过程进行了评价；</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不得暗示评价适用于评价范围以外的活动和场所；</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在使用评价资格时，不得使乙方和（或）评价制度声誉受损，失去公众信任；</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对违反以上任一要求引起的一切责任由甲方自行承担，因此给乙方造成损失或影响的，甲方应承担赔偿责任。</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证书有效期内，甲方发生以下情况时应及时向乙方进行通报，包括（但不限于）以下内容：</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法律地位、经营状况、组织状态或所有权的变更；</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组织、组织结构和管理层（如法人代表、最高管理者等关键的管理、决策或技术人员）的变更；</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联系地址、注册地址、通讯地址、活动场所、多场所等的变更；</w:t>
      </w:r>
    </w:p>
    <w:p>
      <w:pPr>
        <w:numPr>
          <w:ilvl w:val="4"/>
          <w:numId w:val="1"/>
        </w:numPr>
        <w:spacing w:before="78" w:beforeLines="25" w:after="78" w:afterLines="25"/>
        <w:rPr>
          <w:rFonts w:asciiTheme="minorEastAsia" w:hAnsiTheme="minorEastAsia" w:eastAsiaTheme="minorEastAsia"/>
          <w:bCs/>
          <w:szCs w:val="21"/>
        </w:rPr>
      </w:pPr>
      <w:r>
        <w:rPr>
          <w:rFonts w:asciiTheme="minorEastAsia" w:hAnsiTheme="minorEastAsia" w:eastAsiaTheme="minorEastAsia"/>
          <w:bCs/>
          <w:szCs w:val="21"/>
        </w:rPr>
        <w:t>行政许可资质的变更、更新、复查换证、到期、注销等情况信息；</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体系覆盖的活动范围和（或）边界的变更；</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体系和重要过程的变更；</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客户及相关方的重大投诉；</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生产、销售的产品或提供的服务被质量或市场监督部门认定不合格；</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发生产品质量安全事故；</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体系文件的变化；</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适用法律法规及标准的变化；</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其他与体系运行有关的重要信息。</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接受乙方因甲方相关内容变更后的调查和必要时的追加评价和评价决定，否则因此引起的一切责任由甲方自行承担，因此给乙方造成损失或影响的，甲方应承担赔偿责任。</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甲方应保证体系有关信息的真实性，因隐瞒体系覆盖的组织机构、人数、多场所数量等信息导致评价人日不足、多场所抽样量不足、评价结果无效或评价证书失效，由此造成的损失由甲方承担全责，并承担对乙方造成的损失。</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向乙方申请体系评价之日起前一年内，承诺未出现以下任何一种情况：</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其他认证机构对本组织作出过不推荐评价注册（初审）、不推荐再次评价注册或不推荐继续使用评价证书（监督）的结论；</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其他认证机构对本组织做出过暂停评价证书或撤销评价证书的决定；</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本组织被执法监管部门责令停业整顿；</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在全国企业信用信息公示系统（</w:t>
      </w:r>
      <w:r>
        <w:fldChar w:fldCharType="begin"/>
      </w:r>
      <w:r>
        <w:instrText xml:space="preserve"> HYPERLINK "http://gsxt.saic.gov.cn/" </w:instrText>
      </w:r>
      <w:r>
        <w:fldChar w:fldCharType="separate"/>
      </w:r>
      <w:r>
        <w:rPr>
          <w:rStyle w:val="12"/>
          <w:rFonts w:asciiTheme="minorEastAsia" w:hAnsiTheme="minorEastAsia" w:eastAsiaTheme="minorEastAsia"/>
          <w:color w:val="auto"/>
          <w:szCs w:val="21"/>
        </w:rPr>
        <w:t>http://gsxt.saic.gov.cn/</w:t>
      </w:r>
      <w:r>
        <w:rPr>
          <w:rStyle w:val="12"/>
          <w:rFonts w:asciiTheme="minorEastAsia" w:hAnsiTheme="minorEastAsia" w:eastAsiaTheme="minorEastAsia"/>
          <w:color w:val="auto"/>
          <w:szCs w:val="21"/>
        </w:rPr>
        <w:fldChar w:fldCharType="end"/>
      </w:r>
      <w:r>
        <w:rPr>
          <w:rFonts w:hint="eastAsia" w:asciiTheme="minorEastAsia" w:hAnsiTheme="minorEastAsia" w:eastAsiaTheme="minorEastAsia"/>
          <w:bCs/>
          <w:szCs w:val="21"/>
        </w:rPr>
        <w:t>）中，本组织被列入“严重违法企业名单”。</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如果发生因甲方未如实申报而导致乙方颁发的体系评价证书出现无效的情况而造成对甲方的损失时，由甲方自行承担；由此对乙方造成的损失(包括实际经济损失、为补救而产生的额外支出及乙方的名誉损失)则由甲方承担。</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现场评价前，甲方应对乙方提交的评价计划进行确认，并对评价过程中评价组执行评价计划的情况进行监督。由于评价计划执行过程出现问题导致评价无效或评价证书失效，由过错方承担法律责任。</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乙方网站</w:t>
      </w:r>
      <w:r>
        <w:rPr>
          <w:color w:val="0000FF"/>
        </w:rPr>
        <w:fldChar w:fldCharType="begin"/>
      </w:r>
      <w:r>
        <w:rPr>
          <w:color w:val="0000FF"/>
        </w:rPr>
        <w:instrText xml:space="preserve"> HYPERLINK "http://www.xjyrz.com/" </w:instrText>
      </w:r>
      <w:r>
        <w:rPr>
          <w:color w:val="0000FF"/>
        </w:rPr>
        <w:fldChar w:fldCharType="separate"/>
      </w:r>
      <w:r>
        <w:rPr>
          <w:rStyle w:val="12"/>
          <w:rFonts w:asciiTheme="minorEastAsia" w:hAnsiTheme="minorEastAsia" w:eastAsiaTheme="minorEastAsia"/>
          <w:bCs/>
          <w:color w:val="0000FF"/>
          <w:szCs w:val="21"/>
        </w:rPr>
        <w:t>http://www.xjyrz.com/</w:t>
      </w:r>
      <w:r>
        <w:rPr>
          <w:rStyle w:val="12"/>
          <w:rFonts w:asciiTheme="minorEastAsia" w:hAnsiTheme="minorEastAsia" w:eastAsiaTheme="minorEastAsia"/>
          <w:bCs/>
          <w:color w:val="0000FF"/>
          <w:szCs w:val="21"/>
        </w:rPr>
        <w:fldChar w:fldCharType="end"/>
      </w:r>
      <w:r>
        <w:rPr>
          <w:rFonts w:hint="eastAsia" w:asciiTheme="minorEastAsia" w:hAnsiTheme="minorEastAsia" w:eastAsiaTheme="minorEastAsia"/>
          <w:bCs/>
          <w:color w:val="0000FF"/>
          <w:szCs w:val="21"/>
        </w:rPr>
        <w:t xml:space="preserve"> </w:t>
      </w:r>
      <w:r>
        <w:rPr>
          <w:rFonts w:hint="eastAsia" w:asciiTheme="minorEastAsia" w:hAnsiTheme="minorEastAsia" w:eastAsiaTheme="minorEastAsia"/>
          <w:bCs/>
          <w:szCs w:val="21"/>
        </w:rPr>
        <w:t>以及中国国家认证认可监督管理委员会官方网站</w:t>
      </w:r>
      <w:r>
        <w:fldChar w:fldCharType="begin"/>
      </w:r>
      <w:r>
        <w:instrText xml:space="preserve"> HYPERLINK "http://www.cnca.gov.cn" </w:instrText>
      </w:r>
      <w:r>
        <w:fldChar w:fldCharType="separate"/>
      </w:r>
      <w:r>
        <w:rPr>
          <w:rFonts w:asciiTheme="minorEastAsia" w:hAnsiTheme="minorEastAsia" w:eastAsiaTheme="minorEastAsia"/>
          <w:bCs/>
          <w:szCs w:val="21"/>
        </w:rPr>
        <w:t>http</w:t>
      </w:r>
      <w:r>
        <w:rPr>
          <w:rFonts w:hint="eastAsia" w:asciiTheme="minorEastAsia" w:hAnsiTheme="minorEastAsia" w:eastAsiaTheme="minorEastAsia"/>
          <w:bCs/>
          <w:szCs w:val="21"/>
        </w:rPr>
        <w:t>://www.cnca.gov.cn</w:t>
      </w:r>
      <w:r>
        <w:rPr>
          <w:rFonts w:hint="eastAsia" w:asciiTheme="minorEastAsia" w:hAnsiTheme="minorEastAsia" w:eastAsiaTheme="minorEastAsia"/>
          <w:bCs/>
          <w:szCs w:val="21"/>
        </w:rPr>
        <w:fldChar w:fldCharType="end"/>
      </w:r>
      <w:r>
        <w:rPr>
          <w:rFonts w:hint="eastAsia" w:asciiTheme="minorEastAsia" w:hAnsiTheme="minorEastAsia" w:eastAsiaTheme="minorEastAsia"/>
          <w:bCs/>
          <w:szCs w:val="21"/>
        </w:rPr>
        <w:t xml:space="preserve"> 中刊载的与甲方相关信息亦是甲方在本合同履行期间的义务。</w:t>
      </w:r>
    </w:p>
    <w:p>
      <w:pPr>
        <w:numPr>
          <w:ilvl w:val="1"/>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乙方的权利义务</w:t>
      </w:r>
    </w:p>
    <w:p>
      <w:pPr>
        <w:numPr>
          <w:ilvl w:val="2"/>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权利：</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有权依据相关法律法规和现场评价结论，确定甲方评价注册范围；决定甲方是否给予评价注册和颁发证书。</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有权依据甲方的违规行为，作出暂停、注销或撤销甲方评价注册资格，收回证书的决定。</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有权在甲方体系出现异常情况时，适时地安排非例行的评价；其时间及费用由双方另行商定。如</w:t>
      </w:r>
      <w:r>
        <w:rPr>
          <w:rFonts w:hint="eastAsia" w:asciiTheme="minorEastAsia" w:hAnsiTheme="minorEastAsia" w:eastAsiaTheme="minorEastAsia"/>
          <w:szCs w:val="21"/>
        </w:rPr>
        <w:t>甲方的产品在产品质量国家监督抽查中被查出不合格时，甲方应在5日内向乙方通报，同时自国家质检总局发出通报起30日内，乙方应对甲方实施监督评价。</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由于非乙方原因导致本合同不能继续履行或终止履行的，乙方所收取的费用不予退还。</w:t>
      </w:r>
    </w:p>
    <w:p>
      <w:pPr>
        <w:numPr>
          <w:ilvl w:val="2"/>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义务：</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严格遵守国家的法律、法规和认可机构的规定。</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按照评价程序、评价所依据的标准及本合同约定，客观公正地为甲方提供评价服务。</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严格保密承诺，不得将甲方在经营、生产、技术、管理等方面的非公开信息以任何方式泄密给第三方。但下列情况除外：</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甲方已公开的信息；</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得到甲方的书面同意；</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认可机构需要时；</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应法律要求时。</w:t>
      </w:r>
    </w:p>
    <w:p>
      <w:p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 xml:space="preserve">    除法律禁止外，乙方应将拟提供的信息提前通知甲方。特殊情况下，可以根据甲方要求（如出于安全原因），对乙方公开的甲方的名称、相关规范文件、评价范围和地理位置的公开程度作出限制。</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负责在有关媒体上发布甲方已获评价注册的信息。</w:t>
      </w:r>
    </w:p>
    <w:p>
      <w:pPr>
        <w:numPr>
          <w:ilvl w:val="0"/>
          <w:numId w:val="1"/>
        </w:numPr>
        <w:spacing w:before="312" w:beforeLines="100" w:after="156" w:afterLines="50"/>
        <w:rPr>
          <w:rFonts w:asciiTheme="minorEastAsia" w:hAnsiTheme="minorEastAsia" w:eastAsiaTheme="minorEastAsia"/>
          <w:b/>
          <w:bCs/>
          <w:szCs w:val="21"/>
        </w:rPr>
      </w:pPr>
      <w:r>
        <w:rPr>
          <w:rFonts w:hint="eastAsia" w:asciiTheme="minorEastAsia" w:hAnsiTheme="minorEastAsia" w:eastAsiaTheme="minorEastAsia"/>
          <w:b/>
          <w:bCs/>
          <w:szCs w:val="21"/>
        </w:rPr>
        <w:t>合同的生效</w:t>
      </w:r>
    </w:p>
    <w:p>
      <w:pPr>
        <w:numPr>
          <w:ilvl w:val="1"/>
          <w:numId w:val="1"/>
        </w:numPr>
        <w:spacing w:after="156" w:afterLines="50"/>
        <w:rPr>
          <w:rFonts w:asciiTheme="minorEastAsia" w:hAnsiTheme="minorEastAsia" w:eastAsiaTheme="minorEastAsia"/>
          <w:bCs/>
          <w:szCs w:val="21"/>
        </w:rPr>
      </w:pPr>
      <w:r>
        <w:rPr>
          <w:rFonts w:hint="eastAsia" w:asciiTheme="minorEastAsia" w:hAnsiTheme="minorEastAsia" w:eastAsiaTheme="minorEastAsia"/>
          <w:bCs/>
          <w:szCs w:val="21"/>
        </w:rPr>
        <w:t>本合同一式两份，自甲乙双方签字盖章完成签署之日起生效，甲乙双方各执一份。</w:t>
      </w:r>
    </w:p>
    <w:p>
      <w:pPr>
        <w:numPr>
          <w:ilvl w:val="1"/>
          <w:numId w:val="1"/>
        </w:numPr>
        <w:spacing w:after="156" w:afterLines="50"/>
        <w:rPr>
          <w:rFonts w:asciiTheme="minorEastAsia" w:hAnsiTheme="minorEastAsia" w:eastAsiaTheme="minorEastAsia"/>
          <w:bCs/>
          <w:szCs w:val="21"/>
        </w:rPr>
      </w:pPr>
      <w:r>
        <w:rPr>
          <w:rFonts w:hint="eastAsia" w:asciiTheme="minorEastAsia" w:hAnsiTheme="minorEastAsia" w:eastAsiaTheme="minorEastAsia"/>
          <w:bCs/>
          <w:szCs w:val="21"/>
        </w:rPr>
        <w:t>本合同执行期间，双方所有的正式信息均应以书面形式文件表达（允许使用传真件、电子邮件）。</w:t>
      </w:r>
    </w:p>
    <w:p>
      <w:pPr>
        <w:numPr>
          <w:ilvl w:val="1"/>
          <w:numId w:val="1"/>
        </w:numPr>
        <w:spacing w:after="156" w:afterLines="50"/>
        <w:rPr>
          <w:rFonts w:asciiTheme="minorEastAsia" w:hAnsiTheme="minorEastAsia" w:eastAsiaTheme="minorEastAsia"/>
          <w:bCs/>
          <w:szCs w:val="21"/>
        </w:rPr>
      </w:pPr>
      <w:r>
        <w:rPr>
          <w:rFonts w:asciiTheme="minorEastAsia" w:hAnsiTheme="minorEastAsia" w:eastAsiaTheme="minorEastAsia"/>
          <w:bCs/>
          <w:szCs w:val="21"/>
        </w:rPr>
        <w:t>本合同有效期为三年。任何一方欲中止本合同须提前30日书面通知对方，双方协商一致后方得中止。</w:t>
      </w:r>
    </w:p>
    <w:p>
      <w:pPr>
        <w:numPr>
          <w:ilvl w:val="1"/>
          <w:numId w:val="1"/>
        </w:numPr>
        <w:spacing w:after="156" w:afterLines="50"/>
        <w:rPr>
          <w:rFonts w:asciiTheme="minorEastAsia" w:hAnsiTheme="minorEastAsia" w:eastAsiaTheme="minorEastAsia"/>
          <w:bCs/>
          <w:szCs w:val="21"/>
        </w:rPr>
      </w:pPr>
      <w:r>
        <w:rPr>
          <w:rFonts w:asciiTheme="minorEastAsia" w:hAnsiTheme="minorEastAsia" w:eastAsiaTheme="minorEastAsia"/>
          <w:bCs/>
          <w:szCs w:val="21"/>
        </w:rPr>
        <w:t>下列情况下，合同自然终止失效：</w:t>
      </w:r>
    </w:p>
    <w:p>
      <w:pPr>
        <w:numPr>
          <w:ilvl w:val="3"/>
          <w:numId w:val="1"/>
        </w:numPr>
        <w:spacing w:after="156" w:afterLines="50"/>
        <w:rPr>
          <w:rFonts w:cs="Arial" w:asciiTheme="minorEastAsia" w:hAnsiTheme="minorEastAsia" w:eastAsiaTheme="minorEastAsia"/>
          <w:szCs w:val="21"/>
        </w:rPr>
      </w:pPr>
      <w:r>
        <w:rPr>
          <w:rFonts w:cs="Arial" w:asciiTheme="minorEastAsia" w:hAnsiTheme="minorEastAsia" w:eastAsiaTheme="minorEastAsia"/>
          <w:szCs w:val="21"/>
        </w:rPr>
        <w:t>乙方对甲方的评价结论为不合格，经甲方整改，乙方再次评价，仍为不合格时（出现此情况，甲方仍须缴纳全部评价费用）；</w:t>
      </w:r>
    </w:p>
    <w:p>
      <w:pPr>
        <w:numPr>
          <w:ilvl w:val="3"/>
          <w:numId w:val="1"/>
        </w:numPr>
        <w:spacing w:after="156" w:afterLines="50"/>
        <w:rPr>
          <w:rFonts w:cs="Arial" w:asciiTheme="minorEastAsia" w:hAnsiTheme="minorEastAsia" w:eastAsiaTheme="minorEastAsia"/>
          <w:szCs w:val="21"/>
        </w:rPr>
      </w:pPr>
      <w:r>
        <w:rPr>
          <w:rFonts w:cs="Arial" w:asciiTheme="minorEastAsia" w:hAnsiTheme="minorEastAsia" w:eastAsiaTheme="minorEastAsia"/>
          <w:szCs w:val="21"/>
        </w:rPr>
        <w:t>评价证书有效期满三年时，双方未续约。</w:t>
      </w:r>
    </w:p>
    <w:p>
      <w:pPr>
        <w:numPr>
          <w:ilvl w:val="0"/>
          <w:numId w:val="1"/>
        </w:numPr>
        <w:spacing w:before="312" w:beforeLines="100" w:after="156" w:afterLines="50"/>
        <w:rPr>
          <w:rFonts w:asciiTheme="minorEastAsia" w:hAnsiTheme="minorEastAsia" w:eastAsiaTheme="minorEastAsia"/>
          <w:b/>
          <w:bCs/>
          <w:szCs w:val="21"/>
        </w:rPr>
      </w:pPr>
      <w:r>
        <w:rPr>
          <w:rFonts w:hint="eastAsia" w:asciiTheme="minorEastAsia" w:hAnsiTheme="minorEastAsia" w:eastAsiaTheme="minorEastAsia"/>
          <w:b/>
          <w:bCs/>
          <w:szCs w:val="21"/>
        </w:rPr>
        <w:t>合同争议的处理</w:t>
      </w:r>
    </w:p>
    <w:p>
      <w:pPr>
        <w:spacing w:before="78" w:beforeLines="25"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因本合同所发生的争议，甲乙双方协商调解。协商调解不成，依法定程序向乙方所在地法院提出诉讼。</w:t>
      </w:r>
    </w:p>
    <w:p>
      <w:pPr>
        <w:numPr>
          <w:ilvl w:val="0"/>
          <w:numId w:val="1"/>
        </w:numPr>
        <w:spacing w:before="312" w:beforeLines="100" w:after="156" w:afterLines="50"/>
        <w:rPr>
          <w:rFonts w:asciiTheme="minorEastAsia" w:hAnsiTheme="minorEastAsia" w:eastAsiaTheme="minorEastAsia"/>
          <w:b/>
          <w:bCs/>
          <w:szCs w:val="21"/>
        </w:rPr>
      </w:pPr>
      <w:r>
        <w:rPr>
          <w:rFonts w:hint="eastAsia" w:asciiTheme="minorEastAsia" w:hAnsiTheme="minorEastAsia" w:eastAsiaTheme="minorEastAsia"/>
          <w:b/>
          <w:bCs/>
          <w:szCs w:val="21"/>
        </w:rPr>
        <w:t>违约责任</w:t>
      </w:r>
    </w:p>
    <w:p>
      <w:pPr>
        <w:spacing w:before="78" w:beforeLines="25"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甲乙双方必须认真执行合同，如签订合同后一方不能履行合同时，双方应协商解决。由于终止合同所产生的经济损失由责任方承担。发生不可抗力的情况除外（不可抗力应是法律上认可的）。 </w:t>
      </w:r>
    </w:p>
    <w:p>
      <w:pPr>
        <w:numPr>
          <w:ilvl w:val="0"/>
          <w:numId w:val="1"/>
        </w:numPr>
        <w:spacing w:before="312" w:beforeLines="100" w:after="156" w:afterLines="50"/>
        <w:rPr>
          <w:rFonts w:asciiTheme="minorEastAsia" w:hAnsiTheme="minorEastAsia" w:eastAsiaTheme="minorEastAsia"/>
          <w:b/>
          <w:bCs/>
          <w:szCs w:val="21"/>
        </w:rPr>
      </w:pPr>
      <w:r>
        <w:rPr>
          <w:rFonts w:hint="eastAsia" w:asciiTheme="minorEastAsia" w:hAnsiTheme="minorEastAsia" w:eastAsiaTheme="minorEastAsia"/>
          <w:b/>
          <w:bCs/>
          <w:szCs w:val="21"/>
        </w:rPr>
        <w:t>合同更改</w:t>
      </w:r>
    </w:p>
    <w:p>
      <w:pPr>
        <w:spacing w:before="78" w:beforeLines="25"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在合同有效期内，因合同一方提出变更合同条款时，经双方协商一致，应签署《合同更改补充协议》作为本合同的附件。补充协议中新条款生效后，本合同中与其相抵触的条款失效。</w:t>
      </w:r>
    </w:p>
    <w:p>
      <w:pPr>
        <w:numPr>
          <w:ilvl w:val="0"/>
          <w:numId w:val="1"/>
        </w:numPr>
        <w:spacing w:before="312" w:beforeLines="100" w:after="156" w:afterLines="50"/>
        <w:rPr>
          <w:rFonts w:asciiTheme="minorEastAsia" w:hAnsiTheme="minorEastAsia" w:eastAsiaTheme="minorEastAsia"/>
          <w:b/>
          <w:bCs/>
          <w:szCs w:val="21"/>
        </w:rPr>
      </w:pPr>
      <w:r>
        <w:rPr>
          <w:rFonts w:asciiTheme="minorEastAsia" w:hAnsiTheme="minorEastAsia" w:eastAsiaTheme="minorEastAsia"/>
          <w:b/>
          <w:bCs/>
          <w:szCs w:val="21"/>
        </w:rPr>
        <w:t>双方同意，甲方申请的评价范围最终以乙方评价决定的书面文件为准。</w:t>
      </w:r>
    </w:p>
    <w:p>
      <w:pPr>
        <w:numPr>
          <w:ilvl w:val="0"/>
          <w:numId w:val="1"/>
        </w:numPr>
        <w:spacing w:before="312" w:beforeLines="100" w:after="156" w:afterLines="50"/>
        <w:rPr>
          <w:rFonts w:asciiTheme="minorEastAsia" w:hAnsiTheme="minorEastAsia" w:eastAsiaTheme="minorEastAsia"/>
          <w:b/>
          <w:bCs/>
          <w:szCs w:val="21"/>
        </w:rPr>
        <w:sectPr>
          <w:pgSz w:w="11906" w:h="16838"/>
          <w:pgMar w:top="1418" w:right="851" w:bottom="851" w:left="1418" w:header="680" w:footer="680" w:gutter="0"/>
          <w:cols w:space="720" w:num="1"/>
          <w:titlePg/>
          <w:docGrid w:type="lines" w:linePitch="312" w:charSpace="0"/>
        </w:sectPr>
      </w:pPr>
    </w:p>
    <w:p>
      <w:pPr>
        <w:numPr>
          <w:ilvl w:val="0"/>
          <w:numId w:val="1"/>
        </w:numPr>
        <w:spacing w:before="312" w:beforeLines="100" w:after="156" w:afterLines="50"/>
        <w:rPr>
          <w:rFonts w:asciiTheme="minorEastAsia" w:hAnsiTheme="minorEastAsia" w:eastAsiaTheme="minorEastAsia"/>
          <w:b/>
          <w:bCs/>
          <w:szCs w:val="21"/>
        </w:rPr>
      </w:pPr>
      <w:r>
        <w:rPr>
          <w:rFonts w:hint="eastAsia" w:asciiTheme="minorEastAsia" w:hAnsiTheme="minorEastAsia" w:eastAsiaTheme="minorEastAsia"/>
          <w:b/>
          <w:bCs/>
          <w:szCs w:val="21"/>
        </w:rPr>
        <w:t>通知和送达</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各方同意以本协议载明的通讯地址为有效送达地址，任何一方对上述地址有修改的，应及时通知另一方，否则仍以载明地址为准。</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甲方确认：乙方任何书面文件或通知送达下述联系人（含电子邮箱）的视为有效送达，该联系人及邮箱作出的回复视为甲方的真实意思表示。甲方如变更上述联系人，须提前10个工作日通知乙方并附加盖公章的授权委托书。如因甲方未对本协议确定的联系地址、联系方式、指定联系人及其联系方式进行及时通知，导致乙方有关文件无法有效送达的，甲方不得对因此导致的任何不利或损失向乙方主张权利。</w:t>
      </w:r>
    </w:p>
    <w:p>
      <w:pPr>
        <w:spacing w:before="78" w:beforeLines="25" w:after="78" w:afterLines="25"/>
        <w:rPr>
          <w:rFonts w:ascii="宋体" w:hAnsi="宋体"/>
          <w:b/>
          <w:szCs w:val="21"/>
        </w:rPr>
      </w:pPr>
    </w:p>
    <w:p>
      <w:pPr>
        <w:spacing w:before="78" w:beforeLines="25" w:after="78" w:afterLines="25"/>
        <w:rPr>
          <w:rFonts w:ascii="宋体" w:hAnsi="宋体" w:eastAsia="宋体"/>
          <w:b/>
          <w:szCs w:val="21"/>
        </w:rPr>
      </w:pPr>
    </w:p>
    <w:tbl>
      <w:tblPr>
        <w:tblStyle w:val="9"/>
        <w:tblW w:w="9853" w:type="dxa"/>
        <w:jc w:val="center"/>
        <w:tblLayout w:type="fixed"/>
        <w:tblCellMar>
          <w:top w:w="0" w:type="dxa"/>
          <w:left w:w="108" w:type="dxa"/>
          <w:bottom w:w="0" w:type="dxa"/>
          <w:right w:w="108" w:type="dxa"/>
        </w:tblCellMar>
      </w:tblPr>
      <w:tblGrid>
        <w:gridCol w:w="5154"/>
        <w:gridCol w:w="4699"/>
      </w:tblGrid>
      <w:tr>
        <w:tblPrEx>
          <w:tblCellMar>
            <w:top w:w="0" w:type="dxa"/>
            <w:left w:w="108" w:type="dxa"/>
            <w:bottom w:w="0" w:type="dxa"/>
            <w:right w:w="108" w:type="dxa"/>
          </w:tblCellMar>
        </w:tblPrEx>
        <w:trPr>
          <w:trHeight w:val="349" w:hRule="atLeast"/>
          <w:jc w:val="center"/>
        </w:trPr>
        <w:tc>
          <w:tcPr>
            <w:tcW w:w="5154" w:type="dxa"/>
            <w:noWrap w:val="0"/>
            <w:vAlign w:val="center"/>
          </w:tcPr>
          <w:p>
            <w:pPr>
              <w:spacing w:line="440" w:lineRule="exact"/>
              <w:rPr>
                <w:rFonts w:ascii="Arial" w:hAnsi="Arial" w:eastAsia="黑体" w:cs="Arial"/>
                <w:sz w:val="24"/>
              </w:rPr>
            </w:pPr>
            <w:r>
              <w:rPr>
                <w:rFonts w:hint="eastAsia" w:ascii="Arial" w:hAnsi="Arial" w:eastAsia="黑体" w:cs="Arial"/>
                <w:sz w:val="24"/>
              </w:rPr>
              <w:t>委托方（甲方）</w:t>
            </w:r>
            <w:r>
              <w:rPr>
                <w:rFonts w:ascii="Arial" w:hAnsi="Arial" w:eastAsia="黑体" w:cs="Arial"/>
                <w:sz w:val="24"/>
              </w:rPr>
              <w:t>：</w:t>
            </w:r>
          </w:p>
        </w:tc>
        <w:tc>
          <w:tcPr>
            <w:tcW w:w="4699" w:type="dxa"/>
            <w:noWrap w:val="0"/>
            <w:vAlign w:val="center"/>
          </w:tcPr>
          <w:p>
            <w:pPr>
              <w:spacing w:line="440" w:lineRule="exact"/>
              <w:rPr>
                <w:rFonts w:ascii="Arial" w:hAnsi="Arial" w:eastAsia="黑体" w:cs="Arial"/>
                <w:sz w:val="24"/>
              </w:rPr>
            </w:pPr>
            <w:r>
              <w:rPr>
                <w:rFonts w:hint="eastAsia" w:ascii="宋体" w:hAnsi="宋体"/>
                <w:b/>
                <w:sz w:val="22"/>
                <w:szCs w:val="22"/>
              </w:rPr>
              <w:t>审核方（乙方）</w:t>
            </w:r>
            <w:r>
              <w:rPr>
                <w:rFonts w:ascii="Arial" w:hAnsi="Arial" w:eastAsia="黑体" w:cs="Arial"/>
                <w:sz w:val="24"/>
              </w:rPr>
              <w:t>：</w:t>
            </w:r>
          </w:p>
        </w:tc>
      </w:tr>
      <w:tr>
        <w:tblPrEx>
          <w:tblCellMar>
            <w:top w:w="0" w:type="dxa"/>
            <w:left w:w="108" w:type="dxa"/>
            <w:bottom w:w="0" w:type="dxa"/>
            <w:right w:w="108" w:type="dxa"/>
          </w:tblCellMar>
        </w:tblPrEx>
        <w:trPr>
          <w:trHeight w:val="493" w:hRule="atLeast"/>
          <w:jc w:val="center"/>
        </w:trPr>
        <w:tc>
          <w:tcPr>
            <w:tcW w:w="5154" w:type="dxa"/>
            <w:noWrap w:val="0"/>
            <w:vAlign w:val="top"/>
          </w:tcPr>
          <w:p>
            <w:pPr>
              <w:spacing w:line="440" w:lineRule="exact"/>
              <w:rPr>
                <w:rFonts w:ascii="Arial" w:hAnsi="Arial" w:eastAsia="黑体" w:cs="Arial"/>
                <w:sz w:val="24"/>
              </w:rPr>
            </w:pPr>
            <w:r>
              <w:rPr>
                <w:rFonts w:ascii="Arial" w:hAnsi="Arial" w:eastAsia="黑体" w:cs="Arial"/>
                <w:sz w:val="24"/>
              </w:rPr>
              <w:t>（盖章）</w:t>
            </w:r>
          </w:p>
        </w:tc>
        <w:tc>
          <w:tcPr>
            <w:tcW w:w="4699" w:type="dxa"/>
            <w:noWrap w:val="0"/>
            <w:vAlign w:val="top"/>
          </w:tcPr>
          <w:p>
            <w:pPr>
              <w:spacing w:line="440" w:lineRule="exact"/>
              <w:rPr>
                <w:rFonts w:ascii="Arial" w:hAnsi="Arial" w:eastAsia="黑体" w:cs="Arial"/>
                <w:sz w:val="24"/>
              </w:rPr>
            </w:pPr>
            <w:r>
              <w:rPr>
                <w:rFonts w:ascii="Arial" w:hAnsi="Arial" w:eastAsia="黑体" w:cs="Arial"/>
                <w:sz w:val="24"/>
              </w:rPr>
              <w:t>（盖章）</w:t>
            </w:r>
          </w:p>
        </w:tc>
      </w:tr>
      <w:tr>
        <w:tblPrEx>
          <w:tblCellMar>
            <w:top w:w="0" w:type="dxa"/>
            <w:left w:w="108" w:type="dxa"/>
            <w:bottom w:w="0" w:type="dxa"/>
            <w:right w:w="108" w:type="dxa"/>
          </w:tblCellMar>
        </w:tblPrEx>
        <w:trPr>
          <w:trHeight w:val="435" w:hRule="atLeast"/>
          <w:jc w:val="center"/>
        </w:trPr>
        <w:tc>
          <w:tcPr>
            <w:tcW w:w="5154" w:type="dxa"/>
            <w:noWrap w:val="0"/>
            <w:vAlign w:val="center"/>
          </w:tcPr>
          <w:p>
            <w:pPr>
              <w:spacing w:line="440" w:lineRule="exact"/>
              <w:rPr>
                <w:rFonts w:ascii="Arial" w:hAnsi="Arial" w:eastAsia="黑体" w:cs="Arial"/>
                <w:sz w:val="24"/>
              </w:rPr>
            </w:pPr>
            <w:r>
              <w:rPr>
                <w:rFonts w:ascii="Arial" w:hAnsi="Arial" w:eastAsia="黑体" w:cs="Arial"/>
                <w:sz w:val="24"/>
              </w:rPr>
              <w:t>法定代表人：</w:t>
            </w:r>
          </w:p>
        </w:tc>
        <w:tc>
          <w:tcPr>
            <w:tcW w:w="4699" w:type="dxa"/>
            <w:noWrap w:val="0"/>
            <w:vAlign w:val="center"/>
          </w:tcPr>
          <w:p>
            <w:pPr>
              <w:spacing w:line="440" w:lineRule="exact"/>
              <w:rPr>
                <w:rFonts w:ascii="Arial" w:hAnsi="Arial" w:eastAsia="黑体" w:cs="Arial"/>
                <w:sz w:val="24"/>
              </w:rPr>
            </w:pPr>
            <w:r>
              <w:rPr>
                <w:rFonts w:ascii="Arial" w:hAnsi="Arial" w:eastAsia="黑体" w:cs="Arial"/>
                <w:sz w:val="24"/>
              </w:rPr>
              <w:t>法定代表人：</w:t>
            </w:r>
            <w:r>
              <w:rPr>
                <w:rFonts w:hint="eastAsia" w:ascii="Arial" w:hAnsi="Arial" w:eastAsia="黑体" w:cs="Arial"/>
                <w:sz w:val="24"/>
              </w:rPr>
              <w:t>沈君清</w:t>
            </w:r>
          </w:p>
        </w:tc>
      </w:tr>
      <w:tr>
        <w:tblPrEx>
          <w:tblCellMar>
            <w:top w:w="0" w:type="dxa"/>
            <w:left w:w="108" w:type="dxa"/>
            <w:bottom w:w="0" w:type="dxa"/>
            <w:right w:w="108" w:type="dxa"/>
          </w:tblCellMar>
        </w:tblPrEx>
        <w:trPr>
          <w:trHeight w:val="435" w:hRule="atLeast"/>
          <w:jc w:val="center"/>
        </w:trPr>
        <w:tc>
          <w:tcPr>
            <w:tcW w:w="5154" w:type="dxa"/>
            <w:noWrap w:val="0"/>
            <w:vAlign w:val="center"/>
          </w:tcPr>
          <w:p>
            <w:pPr>
              <w:spacing w:line="440" w:lineRule="exact"/>
              <w:rPr>
                <w:rFonts w:ascii="Arial" w:hAnsi="Arial" w:eastAsia="黑体" w:cs="Arial"/>
                <w:sz w:val="24"/>
              </w:rPr>
            </w:pPr>
            <w:r>
              <w:rPr>
                <w:rFonts w:ascii="Arial" w:hAnsi="Arial" w:eastAsia="黑体" w:cs="Arial"/>
                <w:sz w:val="24"/>
              </w:rPr>
              <w:t>委托代表人（签字）：</w:t>
            </w:r>
          </w:p>
        </w:tc>
        <w:tc>
          <w:tcPr>
            <w:tcW w:w="4699" w:type="dxa"/>
            <w:noWrap w:val="0"/>
            <w:vAlign w:val="center"/>
          </w:tcPr>
          <w:p>
            <w:pPr>
              <w:spacing w:line="440" w:lineRule="exact"/>
              <w:rPr>
                <w:rFonts w:ascii="Arial" w:hAnsi="Arial" w:eastAsia="黑体" w:cs="Arial"/>
                <w:sz w:val="24"/>
              </w:rPr>
            </w:pPr>
            <w:r>
              <w:rPr>
                <w:rFonts w:ascii="Arial" w:hAnsi="Arial" w:eastAsia="黑体" w:cs="Arial"/>
                <w:sz w:val="24"/>
              </w:rPr>
              <w:t>委托代表人（签字）：</w:t>
            </w:r>
          </w:p>
        </w:tc>
      </w:tr>
      <w:tr>
        <w:tblPrEx>
          <w:tblCellMar>
            <w:top w:w="0" w:type="dxa"/>
            <w:left w:w="108" w:type="dxa"/>
            <w:bottom w:w="0" w:type="dxa"/>
            <w:right w:w="108" w:type="dxa"/>
          </w:tblCellMar>
        </w:tblPrEx>
        <w:trPr>
          <w:trHeight w:val="435" w:hRule="atLeast"/>
          <w:jc w:val="center"/>
        </w:trPr>
        <w:tc>
          <w:tcPr>
            <w:tcW w:w="5154" w:type="dxa"/>
            <w:noWrap w:val="0"/>
            <w:vAlign w:val="center"/>
          </w:tcPr>
          <w:p>
            <w:pPr>
              <w:spacing w:line="440" w:lineRule="exact"/>
              <w:ind w:firstLine="2640" w:firstLineChars="1100"/>
              <w:rPr>
                <w:rFonts w:ascii="Arial" w:hAnsi="Arial" w:eastAsia="黑体" w:cs="Arial"/>
                <w:sz w:val="24"/>
              </w:rPr>
            </w:pPr>
            <w:r>
              <w:rPr>
                <w:rFonts w:ascii="Arial" w:hAnsi="Arial" w:eastAsia="黑体" w:cs="Arial"/>
                <w:sz w:val="24"/>
              </w:rPr>
              <w:t>年    月    日</w:t>
            </w:r>
          </w:p>
        </w:tc>
        <w:tc>
          <w:tcPr>
            <w:tcW w:w="4699" w:type="dxa"/>
            <w:noWrap w:val="0"/>
            <w:vAlign w:val="center"/>
          </w:tcPr>
          <w:p>
            <w:pPr>
              <w:spacing w:line="440" w:lineRule="exact"/>
              <w:ind w:right="480"/>
              <w:jc w:val="right"/>
              <w:rPr>
                <w:rFonts w:ascii="Arial" w:hAnsi="Arial" w:eastAsia="黑体" w:cs="Arial"/>
                <w:sz w:val="24"/>
              </w:rPr>
            </w:pPr>
            <w:r>
              <w:rPr>
                <w:rFonts w:ascii="Arial" w:hAnsi="Arial" w:eastAsia="黑体" w:cs="Arial"/>
                <w:sz w:val="24"/>
              </w:rPr>
              <w:t>年    月    日</w:t>
            </w:r>
          </w:p>
        </w:tc>
      </w:tr>
      <w:tr>
        <w:tblPrEx>
          <w:tblCellMar>
            <w:top w:w="0" w:type="dxa"/>
            <w:left w:w="108" w:type="dxa"/>
            <w:bottom w:w="0" w:type="dxa"/>
            <w:right w:w="108" w:type="dxa"/>
          </w:tblCellMar>
        </w:tblPrEx>
        <w:trPr>
          <w:trHeight w:val="435" w:hRule="atLeast"/>
          <w:jc w:val="center"/>
        </w:trPr>
        <w:tc>
          <w:tcPr>
            <w:tcW w:w="5154" w:type="dxa"/>
            <w:noWrap w:val="0"/>
            <w:vAlign w:val="center"/>
          </w:tcPr>
          <w:p>
            <w:pPr>
              <w:spacing w:line="440" w:lineRule="exact"/>
              <w:rPr>
                <w:rFonts w:ascii="Arial" w:hAnsi="Arial" w:eastAsia="黑体" w:cs="Arial"/>
                <w:sz w:val="24"/>
              </w:rPr>
            </w:pPr>
            <w:r>
              <w:rPr>
                <w:rFonts w:ascii="Arial" w:hAnsi="Arial" w:eastAsia="黑体" w:cs="Arial"/>
                <w:sz w:val="24"/>
              </w:rPr>
              <w:t>联 系 人：</w:t>
            </w:r>
          </w:p>
        </w:tc>
        <w:tc>
          <w:tcPr>
            <w:tcW w:w="4699" w:type="dxa"/>
            <w:noWrap w:val="0"/>
            <w:vAlign w:val="center"/>
          </w:tcPr>
          <w:p>
            <w:pPr>
              <w:spacing w:line="440" w:lineRule="exact"/>
              <w:rPr>
                <w:rFonts w:ascii="Arial" w:hAnsi="Arial" w:eastAsia="黑体" w:cs="Arial"/>
                <w:sz w:val="24"/>
              </w:rPr>
            </w:pPr>
            <w:r>
              <w:rPr>
                <w:rFonts w:ascii="Arial" w:hAnsi="Arial" w:eastAsia="黑体" w:cs="Arial"/>
                <w:sz w:val="24"/>
              </w:rPr>
              <w:t>电    话：</w:t>
            </w:r>
            <w:r>
              <w:rPr>
                <w:rFonts w:hint="eastAsia" w:ascii="Arial" w:hAnsi="Arial" w:eastAsia="黑体" w:cs="Arial"/>
                <w:sz w:val="24"/>
              </w:rPr>
              <w:t>0531-58192828</w:t>
            </w:r>
          </w:p>
        </w:tc>
      </w:tr>
      <w:tr>
        <w:tblPrEx>
          <w:tblCellMar>
            <w:top w:w="0" w:type="dxa"/>
            <w:left w:w="108" w:type="dxa"/>
            <w:bottom w:w="0" w:type="dxa"/>
            <w:right w:w="108" w:type="dxa"/>
          </w:tblCellMar>
        </w:tblPrEx>
        <w:trPr>
          <w:trHeight w:val="435" w:hRule="atLeast"/>
          <w:jc w:val="center"/>
        </w:trPr>
        <w:tc>
          <w:tcPr>
            <w:tcW w:w="5154" w:type="dxa"/>
            <w:noWrap w:val="0"/>
            <w:vAlign w:val="center"/>
          </w:tcPr>
          <w:p>
            <w:pPr>
              <w:spacing w:line="440" w:lineRule="exact"/>
              <w:rPr>
                <w:rFonts w:ascii="Arial" w:hAnsi="Arial" w:eastAsia="黑体" w:cs="Arial"/>
                <w:sz w:val="24"/>
              </w:rPr>
            </w:pPr>
            <w:r>
              <w:rPr>
                <w:rFonts w:ascii="Arial" w:hAnsi="Arial" w:eastAsia="黑体" w:cs="Arial"/>
                <w:sz w:val="24"/>
              </w:rPr>
              <w:t>电    话：</w:t>
            </w:r>
          </w:p>
        </w:tc>
        <w:tc>
          <w:tcPr>
            <w:tcW w:w="4699" w:type="dxa"/>
            <w:noWrap w:val="0"/>
            <w:vAlign w:val="center"/>
          </w:tcPr>
          <w:p>
            <w:pPr>
              <w:spacing w:line="440" w:lineRule="exact"/>
              <w:rPr>
                <w:rFonts w:ascii="Arial" w:hAnsi="Arial" w:eastAsia="黑体" w:cs="Arial"/>
                <w:sz w:val="24"/>
              </w:rPr>
            </w:pPr>
            <w:r>
              <w:rPr>
                <w:rFonts w:ascii="Arial" w:hAnsi="Arial" w:eastAsia="黑体" w:cs="Arial"/>
                <w:sz w:val="24"/>
              </w:rPr>
              <w:t>传    真</w:t>
            </w:r>
            <w:r>
              <w:rPr>
                <w:rFonts w:hint="eastAsia" w:ascii="Arial" w:hAnsi="Arial" w:eastAsia="黑体" w:cs="Arial"/>
                <w:sz w:val="24"/>
              </w:rPr>
              <w:t>：0531-58192828</w:t>
            </w:r>
          </w:p>
        </w:tc>
      </w:tr>
      <w:tr>
        <w:tblPrEx>
          <w:tblCellMar>
            <w:top w:w="0" w:type="dxa"/>
            <w:left w:w="108" w:type="dxa"/>
            <w:bottom w:w="0" w:type="dxa"/>
            <w:right w:w="108" w:type="dxa"/>
          </w:tblCellMar>
        </w:tblPrEx>
        <w:trPr>
          <w:trHeight w:val="435" w:hRule="atLeast"/>
          <w:jc w:val="center"/>
        </w:trPr>
        <w:tc>
          <w:tcPr>
            <w:tcW w:w="5154" w:type="dxa"/>
            <w:noWrap w:val="0"/>
            <w:vAlign w:val="center"/>
          </w:tcPr>
          <w:p>
            <w:pPr>
              <w:spacing w:line="440" w:lineRule="exact"/>
              <w:rPr>
                <w:rFonts w:ascii="Arial" w:hAnsi="Arial" w:eastAsia="黑体" w:cs="Arial"/>
                <w:sz w:val="24"/>
              </w:rPr>
            </w:pPr>
            <w:r>
              <w:rPr>
                <w:rFonts w:hint="eastAsia" w:ascii="Arial" w:hAnsi="Arial" w:eastAsia="黑体" w:cs="Arial"/>
                <w:sz w:val="24"/>
              </w:rPr>
              <w:t>手    机：</w:t>
            </w:r>
          </w:p>
        </w:tc>
        <w:tc>
          <w:tcPr>
            <w:tcW w:w="4699" w:type="dxa"/>
            <w:noWrap w:val="0"/>
            <w:vAlign w:val="center"/>
          </w:tcPr>
          <w:p>
            <w:pPr>
              <w:spacing w:line="440" w:lineRule="exact"/>
              <w:rPr>
                <w:rFonts w:ascii="Arial" w:hAnsi="Arial" w:eastAsia="黑体" w:cs="Arial"/>
                <w:sz w:val="24"/>
              </w:rPr>
            </w:pPr>
          </w:p>
        </w:tc>
      </w:tr>
      <w:tr>
        <w:tblPrEx>
          <w:tblCellMar>
            <w:top w:w="0" w:type="dxa"/>
            <w:left w:w="108" w:type="dxa"/>
            <w:bottom w:w="0" w:type="dxa"/>
            <w:right w:w="108" w:type="dxa"/>
          </w:tblCellMar>
        </w:tblPrEx>
        <w:trPr>
          <w:trHeight w:val="435" w:hRule="atLeast"/>
          <w:jc w:val="center"/>
        </w:trPr>
        <w:tc>
          <w:tcPr>
            <w:tcW w:w="5154" w:type="dxa"/>
            <w:noWrap w:val="0"/>
            <w:vAlign w:val="center"/>
          </w:tcPr>
          <w:p>
            <w:pPr>
              <w:spacing w:line="440" w:lineRule="exact"/>
              <w:rPr>
                <w:rFonts w:ascii="Arial" w:hAnsi="Arial" w:eastAsia="黑体" w:cs="Arial"/>
                <w:sz w:val="24"/>
              </w:rPr>
            </w:pPr>
            <w:r>
              <w:rPr>
                <w:rFonts w:ascii="Arial" w:hAnsi="Arial" w:eastAsia="黑体" w:cs="Arial"/>
                <w:sz w:val="24"/>
              </w:rPr>
              <w:t>传    真：</w:t>
            </w:r>
          </w:p>
        </w:tc>
        <w:tc>
          <w:tcPr>
            <w:tcW w:w="4699" w:type="dxa"/>
            <w:noWrap w:val="0"/>
            <w:vAlign w:val="center"/>
          </w:tcPr>
          <w:p>
            <w:pPr>
              <w:spacing w:line="440" w:lineRule="exact"/>
              <w:rPr>
                <w:rFonts w:ascii="Arial" w:hAnsi="Arial" w:eastAsia="黑体" w:cs="Arial"/>
                <w:sz w:val="24"/>
              </w:rPr>
            </w:pPr>
            <w:r>
              <w:rPr>
                <w:rFonts w:ascii="Arial" w:hAnsi="Arial" w:eastAsia="黑体" w:cs="Arial"/>
                <w:sz w:val="24"/>
              </w:rPr>
              <w:t>开</w:t>
            </w:r>
            <w:r>
              <w:rPr>
                <w:rFonts w:hint="eastAsia" w:ascii="Arial" w:hAnsi="Arial" w:eastAsia="黑体" w:cs="Arial"/>
                <w:sz w:val="24"/>
              </w:rPr>
              <w:t xml:space="preserve"> </w:t>
            </w:r>
            <w:r>
              <w:rPr>
                <w:rFonts w:ascii="Arial" w:hAnsi="Arial" w:eastAsia="黑体" w:cs="Arial"/>
                <w:sz w:val="24"/>
              </w:rPr>
              <w:t>户</w:t>
            </w:r>
            <w:r>
              <w:rPr>
                <w:rFonts w:hint="eastAsia" w:ascii="Arial" w:hAnsi="Arial" w:eastAsia="黑体" w:cs="Arial"/>
                <w:sz w:val="24"/>
              </w:rPr>
              <w:t xml:space="preserve"> </w:t>
            </w:r>
            <w:r>
              <w:rPr>
                <w:rFonts w:ascii="Arial" w:hAnsi="Arial" w:eastAsia="黑体" w:cs="Arial"/>
                <w:sz w:val="24"/>
              </w:rPr>
              <w:t>行：</w:t>
            </w:r>
            <w:r>
              <w:rPr>
                <w:rFonts w:hint="eastAsia"/>
              </w:rPr>
              <w:drawing>
                <wp:inline distT="0" distB="0" distL="114300" distR="114300">
                  <wp:extent cx="1781810" cy="232410"/>
                  <wp:effectExtent l="0" t="0" r="889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781810" cy="23241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35" w:hRule="atLeast"/>
          <w:jc w:val="center"/>
        </w:trPr>
        <w:tc>
          <w:tcPr>
            <w:tcW w:w="5154" w:type="dxa"/>
            <w:noWrap w:val="0"/>
            <w:vAlign w:val="center"/>
          </w:tcPr>
          <w:p>
            <w:pPr>
              <w:spacing w:line="440" w:lineRule="exact"/>
              <w:rPr>
                <w:rFonts w:ascii="Arial" w:hAnsi="Arial" w:eastAsia="黑体" w:cs="Arial"/>
                <w:sz w:val="24"/>
              </w:rPr>
            </w:pPr>
            <w:r>
              <w:rPr>
                <w:rFonts w:hint="eastAsia" w:ascii="Arial" w:hAnsi="Arial" w:eastAsia="黑体" w:cs="Arial"/>
                <w:sz w:val="24"/>
              </w:rPr>
              <w:t>E-mail：</w:t>
            </w:r>
          </w:p>
        </w:tc>
        <w:tc>
          <w:tcPr>
            <w:tcW w:w="4699" w:type="dxa"/>
            <w:noWrap w:val="0"/>
            <w:vAlign w:val="center"/>
          </w:tcPr>
          <w:p>
            <w:pPr>
              <w:spacing w:line="440" w:lineRule="exact"/>
              <w:rPr>
                <w:rFonts w:ascii="Arial" w:hAnsi="Arial" w:eastAsia="黑体" w:cs="Arial"/>
                <w:sz w:val="24"/>
              </w:rPr>
            </w:pPr>
            <w:r>
              <w:rPr>
                <w:rFonts w:ascii="Arial" w:hAnsi="Arial" w:eastAsia="黑体" w:cs="Arial"/>
                <w:sz w:val="24"/>
              </w:rPr>
              <w:t>户    名：</w:t>
            </w:r>
            <w:r>
              <w:rPr>
                <w:rFonts w:hint="eastAsia" w:ascii="Arial" w:hAnsi="Arial" w:eastAsia="黑体" w:cs="Arial"/>
                <w:sz w:val="24"/>
              </w:rPr>
              <w:t>万里国际认证有限公司</w:t>
            </w:r>
          </w:p>
        </w:tc>
      </w:tr>
      <w:tr>
        <w:tblPrEx>
          <w:tblCellMar>
            <w:top w:w="0" w:type="dxa"/>
            <w:left w:w="108" w:type="dxa"/>
            <w:bottom w:w="0" w:type="dxa"/>
            <w:right w:w="108" w:type="dxa"/>
          </w:tblCellMar>
        </w:tblPrEx>
        <w:trPr>
          <w:trHeight w:val="435" w:hRule="atLeast"/>
          <w:jc w:val="center"/>
        </w:trPr>
        <w:tc>
          <w:tcPr>
            <w:tcW w:w="5154" w:type="dxa"/>
            <w:noWrap w:val="0"/>
            <w:vAlign w:val="center"/>
          </w:tcPr>
          <w:p>
            <w:pPr>
              <w:spacing w:line="440" w:lineRule="exact"/>
              <w:rPr>
                <w:rFonts w:ascii="Arial" w:hAnsi="Arial" w:eastAsia="黑体" w:cs="Arial"/>
                <w:sz w:val="24"/>
              </w:rPr>
            </w:pPr>
            <w:r>
              <w:rPr>
                <w:rFonts w:ascii="Arial" w:hAnsi="Arial" w:eastAsia="黑体" w:cs="Arial"/>
                <w:sz w:val="24"/>
              </w:rPr>
              <w:t>开</w:t>
            </w:r>
            <w:r>
              <w:rPr>
                <w:rFonts w:hint="eastAsia" w:ascii="Arial" w:hAnsi="Arial" w:eastAsia="黑体" w:cs="Arial"/>
                <w:sz w:val="24"/>
              </w:rPr>
              <w:t xml:space="preserve"> </w:t>
            </w:r>
            <w:r>
              <w:rPr>
                <w:rFonts w:ascii="Arial" w:hAnsi="Arial" w:eastAsia="黑体" w:cs="Arial"/>
                <w:sz w:val="24"/>
              </w:rPr>
              <w:t>户</w:t>
            </w:r>
            <w:r>
              <w:rPr>
                <w:rFonts w:hint="eastAsia" w:ascii="Arial" w:hAnsi="Arial" w:eastAsia="黑体" w:cs="Arial"/>
                <w:sz w:val="24"/>
              </w:rPr>
              <w:t xml:space="preserve"> </w:t>
            </w:r>
            <w:r>
              <w:rPr>
                <w:rFonts w:ascii="Arial" w:hAnsi="Arial" w:eastAsia="黑体" w:cs="Arial"/>
                <w:sz w:val="24"/>
              </w:rPr>
              <w:t>行：</w:t>
            </w:r>
          </w:p>
        </w:tc>
        <w:tc>
          <w:tcPr>
            <w:tcW w:w="4699" w:type="dxa"/>
            <w:noWrap w:val="0"/>
            <w:vAlign w:val="center"/>
          </w:tcPr>
          <w:p>
            <w:pPr>
              <w:spacing w:line="440" w:lineRule="exact"/>
              <w:rPr>
                <w:rFonts w:ascii="Arial" w:hAnsi="Arial" w:eastAsia="黑体" w:cs="Arial"/>
                <w:sz w:val="24"/>
              </w:rPr>
            </w:pPr>
            <w:r>
              <w:rPr>
                <w:rFonts w:ascii="Arial" w:hAnsi="Arial" w:eastAsia="黑体" w:cs="Arial"/>
                <w:sz w:val="24"/>
              </w:rPr>
              <w:t>帐    号：</w:t>
            </w:r>
            <w:r>
              <w:rPr>
                <w:rFonts w:hint="eastAsia"/>
                <w:b/>
                <w:sz w:val="24"/>
              </w:rPr>
              <w:t>9550 8802 0021 3600 123</w:t>
            </w:r>
          </w:p>
        </w:tc>
      </w:tr>
      <w:tr>
        <w:tblPrEx>
          <w:tblCellMar>
            <w:top w:w="0" w:type="dxa"/>
            <w:left w:w="108" w:type="dxa"/>
            <w:bottom w:w="0" w:type="dxa"/>
            <w:right w:w="108" w:type="dxa"/>
          </w:tblCellMar>
        </w:tblPrEx>
        <w:trPr>
          <w:trHeight w:val="435" w:hRule="atLeast"/>
          <w:jc w:val="center"/>
        </w:trPr>
        <w:tc>
          <w:tcPr>
            <w:tcW w:w="5154" w:type="dxa"/>
            <w:noWrap w:val="0"/>
            <w:vAlign w:val="center"/>
          </w:tcPr>
          <w:p>
            <w:pPr>
              <w:spacing w:line="440" w:lineRule="exact"/>
              <w:rPr>
                <w:rFonts w:ascii="Arial" w:hAnsi="Arial" w:eastAsia="黑体" w:cs="Arial"/>
                <w:sz w:val="24"/>
              </w:rPr>
            </w:pPr>
            <w:r>
              <w:rPr>
                <w:rFonts w:ascii="Arial" w:hAnsi="Arial" w:eastAsia="黑体" w:cs="Arial"/>
                <w:sz w:val="24"/>
              </w:rPr>
              <w:t>户    名：</w:t>
            </w:r>
          </w:p>
        </w:tc>
        <w:tc>
          <w:tcPr>
            <w:tcW w:w="4699" w:type="dxa"/>
            <w:noWrap w:val="0"/>
            <w:vAlign w:val="center"/>
          </w:tcPr>
          <w:p>
            <w:pPr>
              <w:spacing w:line="440" w:lineRule="exact"/>
              <w:rPr>
                <w:rFonts w:ascii="Arial" w:hAnsi="Arial" w:eastAsia="黑体" w:cs="Arial"/>
                <w:sz w:val="24"/>
              </w:rPr>
            </w:pPr>
            <w:r>
              <w:rPr>
                <w:rFonts w:ascii="Arial" w:hAnsi="Arial" w:eastAsia="黑体" w:cs="Arial"/>
                <w:sz w:val="24"/>
              </w:rPr>
              <w:t>通讯地址：</w:t>
            </w:r>
            <w:r>
              <w:rPr>
                <w:rFonts w:hint="eastAsia" w:ascii="Arial" w:hAnsi="Arial" w:eastAsia="黑体" w:cs="Arial"/>
                <w:sz w:val="24"/>
              </w:rPr>
              <w:t>山东省济南市高新区舜泰广场一号楼西塔6楼A3区-1</w:t>
            </w:r>
          </w:p>
        </w:tc>
      </w:tr>
      <w:tr>
        <w:tblPrEx>
          <w:tblCellMar>
            <w:top w:w="0" w:type="dxa"/>
            <w:left w:w="108" w:type="dxa"/>
            <w:bottom w:w="0" w:type="dxa"/>
            <w:right w:w="108" w:type="dxa"/>
          </w:tblCellMar>
        </w:tblPrEx>
        <w:trPr>
          <w:trHeight w:val="435" w:hRule="atLeast"/>
          <w:jc w:val="center"/>
        </w:trPr>
        <w:tc>
          <w:tcPr>
            <w:tcW w:w="5154" w:type="dxa"/>
            <w:noWrap w:val="0"/>
            <w:vAlign w:val="center"/>
          </w:tcPr>
          <w:p>
            <w:pPr>
              <w:spacing w:line="440" w:lineRule="exact"/>
              <w:rPr>
                <w:rFonts w:hint="eastAsia" w:ascii="Arial" w:hAnsi="Arial" w:eastAsia="黑体" w:cs="Arial"/>
                <w:sz w:val="24"/>
                <w:lang w:eastAsia="zh-CN"/>
              </w:rPr>
            </w:pPr>
            <w:r>
              <w:rPr>
                <w:rFonts w:ascii="Arial" w:hAnsi="Arial" w:eastAsia="黑体" w:cs="Arial"/>
                <w:sz w:val="24"/>
              </w:rPr>
              <w:t>帐    号</w:t>
            </w:r>
            <w:r>
              <w:rPr>
                <w:rFonts w:hint="eastAsia" w:ascii="Arial" w:hAnsi="Arial" w:eastAsia="黑体" w:cs="Arial"/>
                <w:sz w:val="24"/>
                <w:lang w:eastAsia="zh-CN"/>
              </w:rPr>
              <w:t>：</w:t>
            </w:r>
          </w:p>
        </w:tc>
        <w:tc>
          <w:tcPr>
            <w:tcW w:w="4699" w:type="dxa"/>
            <w:noWrap w:val="0"/>
            <w:vAlign w:val="center"/>
          </w:tcPr>
          <w:p>
            <w:pPr>
              <w:spacing w:line="440" w:lineRule="exact"/>
              <w:ind w:firstLine="1200" w:firstLineChars="500"/>
              <w:rPr>
                <w:rFonts w:ascii="Arial" w:hAnsi="Arial" w:eastAsia="黑体" w:cs="Arial"/>
                <w:sz w:val="24"/>
              </w:rPr>
            </w:pPr>
          </w:p>
        </w:tc>
      </w:tr>
      <w:tr>
        <w:tblPrEx>
          <w:tblCellMar>
            <w:top w:w="0" w:type="dxa"/>
            <w:left w:w="108" w:type="dxa"/>
            <w:bottom w:w="0" w:type="dxa"/>
            <w:right w:w="108" w:type="dxa"/>
          </w:tblCellMar>
        </w:tblPrEx>
        <w:trPr>
          <w:trHeight w:val="435" w:hRule="atLeast"/>
          <w:jc w:val="center"/>
        </w:trPr>
        <w:tc>
          <w:tcPr>
            <w:tcW w:w="5154" w:type="dxa"/>
            <w:noWrap w:val="0"/>
            <w:vAlign w:val="center"/>
          </w:tcPr>
          <w:p>
            <w:pPr>
              <w:spacing w:line="440" w:lineRule="exact"/>
              <w:rPr>
                <w:rFonts w:ascii="Arial" w:hAnsi="Arial" w:eastAsia="黑体" w:cs="Arial"/>
                <w:sz w:val="24"/>
              </w:rPr>
            </w:pPr>
            <w:r>
              <w:rPr>
                <w:rFonts w:ascii="Arial" w:hAnsi="Arial" w:eastAsia="黑体" w:cs="Arial"/>
                <w:sz w:val="24"/>
              </w:rPr>
              <w:t>通讯地址：</w:t>
            </w:r>
          </w:p>
        </w:tc>
        <w:tc>
          <w:tcPr>
            <w:tcW w:w="4699" w:type="dxa"/>
            <w:noWrap w:val="0"/>
            <w:vAlign w:val="center"/>
          </w:tcPr>
          <w:p>
            <w:pPr>
              <w:pStyle w:val="8"/>
              <w:widowControl/>
              <w:wordWrap w:val="0"/>
              <w:rPr>
                <w:rFonts w:ascii="Arial" w:hAnsi="Arial" w:eastAsia="黑体" w:cs="Arial"/>
              </w:rPr>
            </w:pPr>
            <w:r>
              <w:rPr>
                <w:rFonts w:ascii="Arial" w:hAnsi="Arial" w:eastAsia="黑体" w:cs="Arial"/>
              </w:rPr>
              <w:t>邮    编：</w:t>
            </w:r>
            <w:r>
              <w:rPr>
                <w:rFonts w:hint="eastAsia" w:ascii="Arial" w:hAnsi="Arial" w:eastAsia="黑体" w:cs="Arial"/>
              </w:rPr>
              <w:t>250101</w:t>
            </w:r>
          </w:p>
        </w:tc>
      </w:tr>
      <w:tr>
        <w:tblPrEx>
          <w:tblCellMar>
            <w:top w:w="0" w:type="dxa"/>
            <w:left w:w="108" w:type="dxa"/>
            <w:bottom w:w="0" w:type="dxa"/>
            <w:right w:w="108" w:type="dxa"/>
          </w:tblCellMar>
        </w:tblPrEx>
        <w:trPr>
          <w:trHeight w:val="435" w:hRule="atLeast"/>
          <w:jc w:val="center"/>
        </w:trPr>
        <w:tc>
          <w:tcPr>
            <w:tcW w:w="5154" w:type="dxa"/>
            <w:noWrap w:val="0"/>
            <w:vAlign w:val="center"/>
          </w:tcPr>
          <w:p>
            <w:pPr>
              <w:spacing w:line="440" w:lineRule="exact"/>
              <w:rPr>
                <w:rFonts w:ascii="Arial" w:hAnsi="Arial" w:eastAsia="黑体" w:cs="Arial"/>
                <w:sz w:val="24"/>
              </w:rPr>
            </w:pPr>
            <w:r>
              <w:rPr>
                <w:rFonts w:ascii="Arial" w:hAnsi="Arial" w:eastAsia="黑体" w:cs="Arial"/>
                <w:sz w:val="24"/>
              </w:rPr>
              <w:t>邮    编：</w:t>
            </w:r>
          </w:p>
        </w:tc>
        <w:tc>
          <w:tcPr>
            <w:tcW w:w="4699" w:type="dxa"/>
            <w:noWrap w:val="0"/>
            <w:vAlign w:val="center"/>
          </w:tcPr>
          <w:p>
            <w:pPr>
              <w:spacing w:line="440" w:lineRule="exact"/>
              <w:rPr>
                <w:rFonts w:ascii="Arial" w:hAnsi="Arial" w:eastAsia="黑体" w:cs="Arial"/>
                <w:sz w:val="24"/>
              </w:rPr>
            </w:pPr>
          </w:p>
        </w:tc>
      </w:tr>
    </w:tbl>
    <w:p>
      <w:pPr>
        <w:spacing w:line="360" w:lineRule="exact"/>
        <w:jc w:val="left"/>
        <w:rPr>
          <w:rFonts w:hint="eastAsia" w:ascii="宋体" w:hAnsi="宋体"/>
          <w:b/>
          <w:sz w:val="24"/>
          <w:szCs w:val="24"/>
        </w:rPr>
      </w:pPr>
    </w:p>
    <w:p>
      <w:pPr>
        <w:spacing w:before="78" w:beforeLines="25" w:after="156" w:afterLines="50"/>
        <w:rPr>
          <w:rFonts w:ascii="宋体" w:hAnsi="宋体"/>
          <w:b/>
          <w:szCs w:val="21"/>
        </w:rPr>
      </w:pPr>
      <w:bookmarkStart w:id="0" w:name="_GoBack"/>
      <w:bookmarkEnd w:id="0"/>
    </w:p>
    <w:sectPr>
      <w:pgSz w:w="11906" w:h="16838"/>
      <w:pgMar w:top="1418" w:right="851" w:bottom="851" w:left="1418" w:header="680" w:footer="68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heme="minorEastAsia" w:hAnsiTheme="minorEastAsia" w:eastAsiaTheme="minorEastAsia"/>
        <w:b/>
      </w:rPr>
    </w:pPr>
    <w:r>
      <w:rPr>
        <w:rFonts w:hint="eastAsia" w:asciiTheme="minorEastAsia" w:hAnsiTheme="minorEastAsia" w:eastAsiaTheme="minorEastAsia"/>
        <w:b/>
      </w:rPr>
      <w:t>共</w:t>
    </w:r>
    <w:r>
      <w:rPr>
        <w:rFonts w:hint="eastAsia" w:asciiTheme="minorEastAsia" w:hAnsiTheme="minorEastAsia" w:eastAsiaTheme="minorEastAsia"/>
        <w:b/>
      </w:rPr>
      <w:fldChar w:fldCharType="begin"/>
    </w:r>
    <w:r>
      <w:rPr>
        <w:rStyle w:val="11"/>
        <w:rFonts w:hint="eastAsia" w:asciiTheme="minorEastAsia" w:hAnsiTheme="minorEastAsia" w:eastAsiaTheme="minorEastAsia"/>
        <w:b/>
      </w:rPr>
      <w:instrText xml:space="preserve"> NUMPAGES </w:instrText>
    </w:r>
    <w:r>
      <w:rPr>
        <w:rFonts w:hint="eastAsia" w:asciiTheme="minorEastAsia" w:hAnsiTheme="minorEastAsia" w:eastAsiaTheme="minorEastAsia"/>
        <w:b/>
      </w:rPr>
      <w:fldChar w:fldCharType="separate"/>
    </w:r>
    <w:r>
      <w:rPr>
        <w:rStyle w:val="11"/>
        <w:rFonts w:asciiTheme="minorEastAsia" w:hAnsiTheme="minorEastAsia" w:eastAsiaTheme="minorEastAsia"/>
        <w:b/>
      </w:rPr>
      <w:t>7</w:t>
    </w:r>
    <w:r>
      <w:rPr>
        <w:rFonts w:hint="eastAsia" w:asciiTheme="minorEastAsia" w:hAnsiTheme="minorEastAsia" w:eastAsiaTheme="minorEastAsia"/>
        <w:b/>
      </w:rPr>
      <w:fldChar w:fldCharType="end"/>
    </w:r>
    <w:r>
      <w:rPr>
        <w:rFonts w:hint="eastAsia" w:asciiTheme="minorEastAsia" w:hAnsiTheme="minorEastAsia" w:eastAsiaTheme="minorEastAsia"/>
        <w:b/>
      </w:rPr>
      <w:t>页 第</w:t>
    </w:r>
    <w:r>
      <w:rPr>
        <w:rFonts w:hint="eastAsia" w:asciiTheme="minorEastAsia" w:hAnsiTheme="minorEastAsia" w:eastAsiaTheme="minorEastAsia"/>
        <w:b/>
      </w:rPr>
      <w:fldChar w:fldCharType="begin"/>
    </w:r>
    <w:r>
      <w:rPr>
        <w:rStyle w:val="11"/>
        <w:rFonts w:hint="eastAsia" w:asciiTheme="minorEastAsia" w:hAnsiTheme="minorEastAsia" w:eastAsiaTheme="minorEastAsia"/>
        <w:b/>
      </w:rPr>
      <w:instrText xml:space="preserve"> PAGE </w:instrText>
    </w:r>
    <w:r>
      <w:rPr>
        <w:rFonts w:hint="eastAsia" w:asciiTheme="minorEastAsia" w:hAnsiTheme="minorEastAsia" w:eastAsiaTheme="minorEastAsia"/>
        <w:b/>
      </w:rPr>
      <w:fldChar w:fldCharType="separate"/>
    </w:r>
    <w:r>
      <w:rPr>
        <w:rStyle w:val="11"/>
        <w:rFonts w:asciiTheme="minorEastAsia" w:hAnsiTheme="minorEastAsia" w:eastAsiaTheme="minorEastAsia"/>
        <w:b/>
      </w:rPr>
      <w:t>6</w:t>
    </w:r>
    <w:r>
      <w:rPr>
        <w:rFonts w:hint="eastAsia" w:asciiTheme="minorEastAsia" w:hAnsiTheme="minorEastAsia" w:eastAsiaTheme="minorEastAsia"/>
        <w:b/>
      </w:rPr>
      <w:fldChar w:fldCharType="end"/>
    </w:r>
    <w:r>
      <w:rPr>
        <w:rFonts w:hint="eastAsia" w:asciiTheme="minorEastAsia" w:hAnsiTheme="minorEastAsia" w:eastAsiaTheme="minorEastAsia"/>
        <w:b/>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hint="eastAsia" w:asciiTheme="minorEastAsia" w:hAnsiTheme="minorEastAsia" w:eastAsiaTheme="minorEastAsia"/>
        <w:b/>
      </w:rPr>
      <w:t>共</w:t>
    </w:r>
    <w:r>
      <w:rPr>
        <w:rFonts w:hint="eastAsia" w:asciiTheme="minorEastAsia" w:hAnsiTheme="minorEastAsia" w:eastAsiaTheme="minorEastAsia"/>
        <w:b/>
      </w:rPr>
      <w:fldChar w:fldCharType="begin"/>
    </w:r>
    <w:r>
      <w:rPr>
        <w:rStyle w:val="11"/>
        <w:rFonts w:hint="eastAsia" w:asciiTheme="minorEastAsia" w:hAnsiTheme="minorEastAsia" w:eastAsiaTheme="minorEastAsia"/>
        <w:b/>
      </w:rPr>
      <w:instrText xml:space="preserve"> NUMPAGES </w:instrText>
    </w:r>
    <w:r>
      <w:rPr>
        <w:rFonts w:hint="eastAsia" w:asciiTheme="minorEastAsia" w:hAnsiTheme="minorEastAsia" w:eastAsiaTheme="minorEastAsia"/>
        <w:b/>
      </w:rPr>
      <w:fldChar w:fldCharType="separate"/>
    </w:r>
    <w:r>
      <w:rPr>
        <w:rStyle w:val="11"/>
        <w:rFonts w:asciiTheme="minorEastAsia" w:hAnsiTheme="minorEastAsia" w:eastAsiaTheme="minorEastAsia"/>
        <w:b/>
      </w:rPr>
      <w:t>7</w:t>
    </w:r>
    <w:r>
      <w:rPr>
        <w:rFonts w:hint="eastAsia" w:asciiTheme="minorEastAsia" w:hAnsiTheme="minorEastAsia" w:eastAsiaTheme="minorEastAsia"/>
        <w:b/>
      </w:rPr>
      <w:fldChar w:fldCharType="end"/>
    </w:r>
    <w:r>
      <w:rPr>
        <w:rFonts w:hint="eastAsia" w:asciiTheme="minorEastAsia" w:hAnsiTheme="minorEastAsia" w:eastAsiaTheme="minorEastAsia"/>
        <w:b/>
      </w:rPr>
      <w:t>页 第</w:t>
    </w:r>
    <w:r>
      <w:rPr>
        <w:rFonts w:hint="eastAsia" w:asciiTheme="minorEastAsia" w:hAnsiTheme="minorEastAsia" w:eastAsiaTheme="minorEastAsia"/>
        <w:b/>
      </w:rPr>
      <w:fldChar w:fldCharType="begin"/>
    </w:r>
    <w:r>
      <w:rPr>
        <w:rStyle w:val="11"/>
        <w:rFonts w:hint="eastAsia" w:asciiTheme="minorEastAsia" w:hAnsiTheme="minorEastAsia" w:eastAsiaTheme="minorEastAsia"/>
        <w:b/>
      </w:rPr>
      <w:instrText xml:space="preserve"> PAGE </w:instrText>
    </w:r>
    <w:r>
      <w:rPr>
        <w:rFonts w:hint="eastAsia" w:asciiTheme="minorEastAsia" w:hAnsiTheme="minorEastAsia" w:eastAsiaTheme="minorEastAsia"/>
        <w:b/>
      </w:rPr>
      <w:fldChar w:fldCharType="separate"/>
    </w:r>
    <w:r>
      <w:rPr>
        <w:rStyle w:val="11"/>
        <w:rFonts w:asciiTheme="minorEastAsia" w:hAnsiTheme="minorEastAsia" w:eastAsiaTheme="minorEastAsia"/>
        <w:b/>
      </w:rPr>
      <w:t>7</w:t>
    </w:r>
    <w:r>
      <w:rPr>
        <w:rFonts w:hint="eastAsia" w:asciiTheme="minorEastAsia" w:hAnsiTheme="minorEastAsia" w:eastAsiaTheme="minorEastAsia"/>
        <w:b/>
      </w:rPr>
      <w:fldChar w:fldCharType="end"/>
    </w:r>
    <w:r>
      <w:rPr>
        <w:rFonts w:hint="eastAsia" w:asciiTheme="minorEastAsia" w:hAnsiTheme="minorEastAsia" w:eastAsiaTheme="minorEastAsia"/>
        <w:b/>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6"/>
      <w:rPr>
        <w:rFonts w:asciiTheme="minorEastAsia" w:hAnsiTheme="minorEastAsia" w:eastAsiaTheme="minorEastAsia"/>
        <w:b/>
      </w:rPr>
    </w:pPr>
    <w:r>
      <w:rPr>
        <w:rFonts w:hint="eastAsia" w:asciiTheme="minorEastAsia" w:hAnsiTheme="minorEastAsia" w:eastAsiaTheme="minorEastAsia"/>
        <w:b/>
        <w:bCs/>
        <w:lang w:eastAsia="zh-CN"/>
      </w:rPr>
      <w:t>万里国际</w:t>
    </w:r>
    <w:r>
      <w:rPr>
        <w:rFonts w:hint="eastAsia" w:asciiTheme="minorEastAsia" w:hAnsiTheme="minorEastAsia" w:eastAsiaTheme="minorEastAsia"/>
        <w:b/>
        <w:bCs/>
      </w:rPr>
      <w:t>认证</w:t>
    </w:r>
    <w:r>
      <w:rPr>
        <w:rFonts w:asciiTheme="minorEastAsia" w:hAnsiTheme="minorEastAsia" w:eastAsiaTheme="minorEastAsia"/>
        <w:b/>
        <w:bCs/>
      </w:rPr>
      <w:t xml:space="preserve">有限公司                                      </w:t>
    </w:r>
    <w:r>
      <w:rPr>
        <w:rFonts w:hint="eastAsia" w:asciiTheme="minorEastAsia" w:hAnsiTheme="minorEastAsia" w:eastAsiaTheme="minorEastAsia"/>
        <w:b/>
        <w:bCs/>
      </w:rPr>
      <w:t xml:space="preserve">             </w:t>
    </w:r>
    <w:r>
      <w:rPr>
        <w:rFonts w:asciiTheme="minorEastAsia" w:hAnsiTheme="minorEastAsia" w:eastAsiaTheme="minorEastAsia"/>
        <w:b/>
        <w:b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6"/>
      <w:rPr>
        <w:rFonts w:asciiTheme="minorEastAsia" w:hAnsiTheme="minorEastAsia" w:eastAsiaTheme="minorEastAsia"/>
        <w:b/>
      </w:rPr>
    </w:pPr>
    <w:r>
      <w:rPr>
        <w:rFonts w:hint="eastAsia" w:asciiTheme="minorEastAsia" w:hAnsiTheme="minorEastAsia" w:eastAsiaTheme="minorEastAsia"/>
        <w:b/>
        <w:bCs/>
        <w:lang w:eastAsia="zh-CN"/>
      </w:rPr>
      <w:t>万里国际</w:t>
    </w:r>
    <w:r>
      <w:rPr>
        <w:rFonts w:hint="eastAsia" w:asciiTheme="minorEastAsia" w:hAnsiTheme="minorEastAsia" w:eastAsiaTheme="minorEastAsia"/>
        <w:b/>
        <w:bCs/>
      </w:rPr>
      <w:t>认证</w:t>
    </w:r>
    <w:r>
      <w:rPr>
        <w:rFonts w:asciiTheme="minorEastAsia" w:hAnsiTheme="minorEastAsia" w:eastAsiaTheme="minorEastAsia"/>
        <w:b/>
        <w:bCs/>
      </w:rPr>
      <w:t xml:space="preserve">有限公司                                      </w:t>
    </w:r>
    <w:r>
      <w:rPr>
        <w:rFonts w:hint="eastAsia" w:asciiTheme="minorEastAsia" w:hAnsiTheme="minorEastAsia" w:eastAsiaTheme="minorEastAsia"/>
        <w:b/>
        <w:bCs/>
      </w:rPr>
      <w:t xml:space="preserve">             </w:t>
    </w:r>
    <w:r>
      <w:rPr>
        <w:rFonts w:asciiTheme="minorEastAsia" w:hAnsiTheme="minorEastAsia" w:eastAsiaTheme="minorEastAsia"/>
        <w:b/>
        <w:bC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6"/>
      <w:rPr>
        <w:rFonts w:asciiTheme="minorEastAsia" w:hAnsiTheme="minorEastAsia" w:eastAsiaTheme="minorEastAsia"/>
        <w:b/>
      </w:rPr>
    </w:pPr>
    <w:r>
      <w:rPr>
        <w:rFonts w:hint="eastAsia" w:asciiTheme="minorEastAsia" w:hAnsiTheme="minorEastAsia" w:eastAsiaTheme="minorEastAsia"/>
        <w:b/>
        <w:bCs/>
        <w:lang w:eastAsia="zh-CN"/>
      </w:rPr>
      <w:t>万里国际</w:t>
    </w:r>
    <w:r>
      <w:rPr>
        <w:rFonts w:hint="eastAsia" w:asciiTheme="minorEastAsia" w:hAnsiTheme="minorEastAsia" w:eastAsiaTheme="minorEastAsia"/>
        <w:b/>
        <w:bCs/>
      </w:rPr>
      <w:t>认证</w:t>
    </w:r>
    <w:r>
      <w:rPr>
        <w:rFonts w:asciiTheme="minorEastAsia" w:hAnsiTheme="minorEastAsia" w:eastAsiaTheme="minorEastAsia"/>
        <w:b/>
        <w:bCs/>
      </w:rPr>
      <w:t xml:space="preserve">有限公司                                      </w:t>
    </w:r>
    <w:r>
      <w:rPr>
        <w:rFonts w:hint="eastAsia" w:asciiTheme="minorEastAsia" w:hAnsiTheme="minorEastAsia" w:eastAsiaTheme="minorEastAsia"/>
        <w:b/>
        <w:bCs/>
      </w:rPr>
      <w:t xml:space="preserve">             </w:t>
    </w:r>
    <w:r>
      <w:rPr>
        <w:rFonts w:asciiTheme="minorEastAsia" w:hAnsiTheme="minorEastAsia" w:eastAsiaTheme="minor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0BC8DD"/>
    <w:multiLevelType w:val="multilevel"/>
    <w:tmpl w:val="550BC8DD"/>
    <w:lvl w:ilvl="0" w:tentative="0">
      <w:start w:val="1"/>
      <w:numFmt w:val="chineseCountingThousand"/>
      <w:lvlText w:val="%1."/>
      <w:lvlJc w:val="left"/>
      <w:pPr>
        <w:ind w:left="0" w:firstLine="0"/>
      </w:pPr>
      <w:rPr>
        <w:rFonts w:hint="eastAsia"/>
        <w:b/>
        <w:i w:val="0"/>
      </w:rPr>
    </w:lvl>
    <w:lvl w:ilvl="1" w:tentative="0">
      <w:start w:val="1"/>
      <w:numFmt w:val="decimal"/>
      <w:lvlText w:val="%2."/>
      <w:lvlJc w:val="left"/>
      <w:pPr>
        <w:tabs>
          <w:tab w:val="left" w:pos="284"/>
        </w:tabs>
        <w:ind w:left="0" w:firstLine="284"/>
      </w:pPr>
      <w:rPr>
        <w:rFonts w:hint="eastAsia"/>
        <w:b/>
        <w:i w:val="0"/>
      </w:rPr>
    </w:lvl>
    <w:lvl w:ilvl="2" w:tentative="0">
      <w:start w:val="1"/>
      <w:numFmt w:val="decimal"/>
      <w:lvlText w:val="%3）"/>
      <w:lvlJc w:val="left"/>
      <w:pPr>
        <w:tabs>
          <w:tab w:val="left" w:pos="851"/>
        </w:tabs>
        <w:ind w:left="0" w:firstLine="567"/>
      </w:pPr>
      <w:rPr>
        <w:rFonts w:hint="eastAsia"/>
        <w:b/>
        <w:i w:val="0"/>
      </w:rPr>
    </w:lvl>
    <w:lvl w:ilvl="3" w:tentative="0">
      <w:start w:val="1"/>
      <w:numFmt w:val="lowerLetter"/>
      <w:lvlText w:val="%4)"/>
      <w:lvlJc w:val="left"/>
      <w:pPr>
        <w:ind w:left="0" w:firstLine="851"/>
      </w:pPr>
      <w:rPr>
        <w:rFonts w:hint="eastAsia"/>
        <w:b/>
        <w:i w:val="0"/>
      </w:rPr>
    </w:lvl>
    <w:lvl w:ilvl="4" w:tentative="0">
      <w:start w:val="1"/>
      <w:numFmt w:val="lowerRoman"/>
      <w:lvlText w:val="%5)"/>
      <w:lvlJc w:val="left"/>
      <w:pPr>
        <w:ind w:left="0" w:firstLine="1134"/>
      </w:pPr>
      <w:rPr>
        <w:rFonts w:hint="eastAsia"/>
        <w:b/>
        <w:i w:val="0"/>
      </w:rPr>
    </w:lvl>
    <w:lvl w:ilvl="5" w:tentative="0">
      <w:start w:val="1"/>
      <w:numFmt w:val="bullet"/>
      <w:lvlText w:val=""/>
      <w:lvlJc w:val="left"/>
      <w:pPr>
        <w:ind w:left="0" w:firstLine="1418"/>
      </w:pPr>
      <w:rPr>
        <w:rFonts w:hint="default" w:ascii="Symbol" w:hAnsi="Symbol"/>
        <w:b/>
        <w:i w:val="0"/>
        <w:color w:val="auto"/>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554AC67A"/>
    <w:multiLevelType w:val="multilevel"/>
    <w:tmpl w:val="554AC67A"/>
    <w:lvl w:ilvl="0" w:tentative="0">
      <w:start w:val="1"/>
      <w:numFmt w:val="chineseCountingThousand"/>
      <w:lvlText w:val="%1."/>
      <w:lvlJc w:val="left"/>
      <w:pPr>
        <w:ind w:left="0" w:firstLine="0"/>
      </w:pPr>
      <w:rPr>
        <w:rFonts w:hint="eastAsia"/>
        <w:b/>
        <w:i w:val="0"/>
      </w:rPr>
    </w:lvl>
    <w:lvl w:ilvl="1" w:tentative="0">
      <w:start w:val="1"/>
      <w:numFmt w:val="decimal"/>
      <w:lvlText w:val="%2."/>
      <w:lvlJc w:val="left"/>
      <w:pPr>
        <w:tabs>
          <w:tab w:val="left" w:pos="284"/>
        </w:tabs>
        <w:ind w:left="0" w:firstLine="284"/>
      </w:pPr>
      <w:rPr>
        <w:rFonts w:hint="eastAsia"/>
        <w:b/>
        <w:i w:val="0"/>
      </w:rPr>
    </w:lvl>
    <w:lvl w:ilvl="2" w:tentative="0">
      <w:start w:val="1"/>
      <w:numFmt w:val="decimal"/>
      <w:lvlText w:val="%3）"/>
      <w:lvlJc w:val="left"/>
      <w:pPr>
        <w:tabs>
          <w:tab w:val="left" w:pos="851"/>
        </w:tabs>
        <w:ind w:left="0" w:firstLine="567"/>
      </w:pPr>
      <w:rPr>
        <w:rFonts w:hint="eastAsia"/>
        <w:b/>
        <w:i w:val="0"/>
      </w:rPr>
    </w:lvl>
    <w:lvl w:ilvl="3" w:tentative="0">
      <w:start w:val="1"/>
      <w:numFmt w:val="lowerLetter"/>
      <w:lvlText w:val="%4)"/>
      <w:lvlJc w:val="left"/>
      <w:pPr>
        <w:ind w:left="0" w:firstLine="851"/>
      </w:pPr>
      <w:rPr>
        <w:rFonts w:hint="eastAsia"/>
        <w:b/>
        <w:i w:val="0"/>
      </w:rPr>
    </w:lvl>
    <w:lvl w:ilvl="4" w:tentative="0">
      <w:start w:val="1"/>
      <w:numFmt w:val="lowerRoman"/>
      <w:lvlText w:val="%5)"/>
      <w:lvlJc w:val="left"/>
      <w:pPr>
        <w:ind w:left="0" w:firstLine="1134"/>
      </w:pPr>
      <w:rPr>
        <w:rFonts w:hint="eastAsia"/>
        <w:b/>
        <w:i w:val="0"/>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952"/>
    <w:rsid w:val="000344A6"/>
    <w:rsid w:val="000361D5"/>
    <w:rsid w:val="000467F8"/>
    <w:rsid w:val="00051788"/>
    <w:rsid w:val="00064E7A"/>
    <w:rsid w:val="000763F0"/>
    <w:rsid w:val="00080A4C"/>
    <w:rsid w:val="00081D1E"/>
    <w:rsid w:val="000835EF"/>
    <w:rsid w:val="000A4723"/>
    <w:rsid w:val="000D2711"/>
    <w:rsid w:val="000E0CF0"/>
    <w:rsid w:val="000E46EE"/>
    <w:rsid w:val="00110D17"/>
    <w:rsid w:val="00116B21"/>
    <w:rsid w:val="001267BF"/>
    <w:rsid w:val="00144EE4"/>
    <w:rsid w:val="00146C2E"/>
    <w:rsid w:val="001645E9"/>
    <w:rsid w:val="001718CC"/>
    <w:rsid w:val="001A0D34"/>
    <w:rsid w:val="001A5AD4"/>
    <w:rsid w:val="001C2BC2"/>
    <w:rsid w:val="001D2DE6"/>
    <w:rsid w:val="001D2FAC"/>
    <w:rsid w:val="001E1FA9"/>
    <w:rsid w:val="00210BC0"/>
    <w:rsid w:val="00216A0A"/>
    <w:rsid w:val="00241C8F"/>
    <w:rsid w:val="00253F59"/>
    <w:rsid w:val="0026095A"/>
    <w:rsid w:val="0026596F"/>
    <w:rsid w:val="00266250"/>
    <w:rsid w:val="002747E0"/>
    <w:rsid w:val="00274952"/>
    <w:rsid w:val="002B1371"/>
    <w:rsid w:val="002E40E1"/>
    <w:rsid w:val="002E499C"/>
    <w:rsid w:val="002F6EA7"/>
    <w:rsid w:val="00332338"/>
    <w:rsid w:val="00345359"/>
    <w:rsid w:val="00361118"/>
    <w:rsid w:val="00367092"/>
    <w:rsid w:val="00392C56"/>
    <w:rsid w:val="003B639B"/>
    <w:rsid w:val="003D475B"/>
    <w:rsid w:val="003E5576"/>
    <w:rsid w:val="003F237E"/>
    <w:rsid w:val="003F578E"/>
    <w:rsid w:val="0040584C"/>
    <w:rsid w:val="00406FA8"/>
    <w:rsid w:val="0041737C"/>
    <w:rsid w:val="00431FE6"/>
    <w:rsid w:val="00444966"/>
    <w:rsid w:val="0046252D"/>
    <w:rsid w:val="00467B41"/>
    <w:rsid w:val="00487B89"/>
    <w:rsid w:val="004A60CB"/>
    <w:rsid w:val="004D158C"/>
    <w:rsid w:val="004D5C93"/>
    <w:rsid w:val="004D63E3"/>
    <w:rsid w:val="004E4AB3"/>
    <w:rsid w:val="004E574D"/>
    <w:rsid w:val="005049DD"/>
    <w:rsid w:val="005227E9"/>
    <w:rsid w:val="00527E57"/>
    <w:rsid w:val="005308ED"/>
    <w:rsid w:val="00532AE2"/>
    <w:rsid w:val="005425CD"/>
    <w:rsid w:val="005561C1"/>
    <w:rsid w:val="00565049"/>
    <w:rsid w:val="005910C2"/>
    <w:rsid w:val="005C084E"/>
    <w:rsid w:val="005D28DC"/>
    <w:rsid w:val="005E7E2B"/>
    <w:rsid w:val="005F1210"/>
    <w:rsid w:val="006030FB"/>
    <w:rsid w:val="00606E96"/>
    <w:rsid w:val="00645332"/>
    <w:rsid w:val="006457ED"/>
    <w:rsid w:val="00646EE5"/>
    <w:rsid w:val="0066195E"/>
    <w:rsid w:val="00687857"/>
    <w:rsid w:val="006A06BA"/>
    <w:rsid w:val="006A5C85"/>
    <w:rsid w:val="006F5285"/>
    <w:rsid w:val="006F57AC"/>
    <w:rsid w:val="0070059B"/>
    <w:rsid w:val="00707E4F"/>
    <w:rsid w:val="00711E55"/>
    <w:rsid w:val="007178E9"/>
    <w:rsid w:val="00717E55"/>
    <w:rsid w:val="0073458E"/>
    <w:rsid w:val="007469FB"/>
    <w:rsid w:val="007524BD"/>
    <w:rsid w:val="007A03FD"/>
    <w:rsid w:val="007B1A33"/>
    <w:rsid w:val="007B5456"/>
    <w:rsid w:val="007C116B"/>
    <w:rsid w:val="007C1A3F"/>
    <w:rsid w:val="007C4397"/>
    <w:rsid w:val="007C7BA9"/>
    <w:rsid w:val="007E1200"/>
    <w:rsid w:val="007F05C0"/>
    <w:rsid w:val="0080214C"/>
    <w:rsid w:val="00821EE7"/>
    <w:rsid w:val="008274B7"/>
    <w:rsid w:val="0084432F"/>
    <w:rsid w:val="0085683F"/>
    <w:rsid w:val="00857E91"/>
    <w:rsid w:val="00860557"/>
    <w:rsid w:val="00860664"/>
    <w:rsid w:val="00865642"/>
    <w:rsid w:val="00885BB8"/>
    <w:rsid w:val="00886CEF"/>
    <w:rsid w:val="00893E5B"/>
    <w:rsid w:val="00896275"/>
    <w:rsid w:val="008B377E"/>
    <w:rsid w:val="008B68A7"/>
    <w:rsid w:val="008C073F"/>
    <w:rsid w:val="008C32AB"/>
    <w:rsid w:val="008D4100"/>
    <w:rsid w:val="008E0F3D"/>
    <w:rsid w:val="008E6B45"/>
    <w:rsid w:val="008E6C2A"/>
    <w:rsid w:val="009031FD"/>
    <w:rsid w:val="00907D0A"/>
    <w:rsid w:val="00981C77"/>
    <w:rsid w:val="009C2F46"/>
    <w:rsid w:val="009D5994"/>
    <w:rsid w:val="009D70AF"/>
    <w:rsid w:val="009E3EAF"/>
    <w:rsid w:val="009F7BBE"/>
    <w:rsid w:val="00A137C4"/>
    <w:rsid w:val="00A13E27"/>
    <w:rsid w:val="00A232E9"/>
    <w:rsid w:val="00A3581E"/>
    <w:rsid w:val="00A41740"/>
    <w:rsid w:val="00A63AE7"/>
    <w:rsid w:val="00A66566"/>
    <w:rsid w:val="00A70798"/>
    <w:rsid w:val="00A863FF"/>
    <w:rsid w:val="00AA1C24"/>
    <w:rsid w:val="00AB7501"/>
    <w:rsid w:val="00AC494B"/>
    <w:rsid w:val="00AD5DB5"/>
    <w:rsid w:val="00AF2230"/>
    <w:rsid w:val="00AF3CFE"/>
    <w:rsid w:val="00B03ED6"/>
    <w:rsid w:val="00B53455"/>
    <w:rsid w:val="00B56389"/>
    <w:rsid w:val="00B63FBC"/>
    <w:rsid w:val="00B67F4D"/>
    <w:rsid w:val="00B81419"/>
    <w:rsid w:val="00B83404"/>
    <w:rsid w:val="00B9455C"/>
    <w:rsid w:val="00BA6A18"/>
    <w:rsid w:val="00BB2E6E"/>
    <w:rsid w:val="00BC7212"/>
    <w:rsid w:val="00BE5951"/>
    <w:rsid w:val="00C06FA6"/>
    <w:rsid w:val="00C10A81"/>
    <w:rsid w:val="00C11CE0"/>
    <w:rsid w:val="00C300DE"/>
    <w:rsid w:val="00C45A11"/>
    <w:rsid w:val="00C6088B"/>
    <w:rsid w:val="00C63754"/>
    <w:rsid w:val="00C6604E"/>
    <w:rsid w:val="00C66740"/>
    <w:rsid w:val="00C745C1"/>
    <w:rsid w:val="00C85D4D"/>
    <w:rsid w:val="00C93717"/>
    <w:rsid w:val="00CB3A35"/>
    <w:rsid w:val="00CC15B3"/>
    <w:rsid w:val="00CC40E3"/>
    <w:rsid w:val="00CC719A"/>
    <w:rsid w:val="00D1410C"/>
    <w:rsid w:val="00D30B42"/>
    <w:rsid w:val="00D43256"/>
    <w:rsid w:val="00D47A92"/>
    <w:rsid w:val="00D607D5"/>
    <w:rsid w:val="00D607E4"/>
    <w:rsid w:val="00D64EEE"/>
    <w:rsid w:val="00DA23F7"/>
    <w:rsid w:val="00DA514E"/>
    <w:rsid w:val="00DB373D"/>
    <w:rsid w:val="00DC031C"/>
    <w:rsid w:val="00DC2F98"/>
    <w:rsid w:val="00DD7F62"/>
    <w:rsid w:val="00DE059A"/>
    <w:rsid w:val="00DF02EB"/>
    <w:rsid w:val="00DF47EC"/>
    <w:rsid w:val="00E008F2"/>
    <w:rsid w:val="00E04736"/>
    <w:rsid w:val="00E14BBE"/>
    <w:rsid w:val="00E31AAE"/>
    <w:rsid w:val="00E43231"/>
    <w:rsid w:val="00E4502C"/>
    <w:rsid w:val="00E7652B"/>
    <w:rsid w:val="00E76760"/>
    <w:rsid w:val="00E839A4"/>
    <w:rsid w:val="00E85ED7"/>
    <w:rsid w:val="00E94E77"/>
    <w:rsid w:val="00E97C52"/>
    <w:rsid w:val="00EA0D0E"/>
    <w:rsid w:val="00EB3F94"/>
    <w:rsid w:val="00EC4F4B"/>
    <w:rsid w:val="00EC5536"/>
    <w:rsid w:val="00ED2AC2"/>
    <w:rsid w:val="00ED7B19"/>
    <w:rsid w:val="00EE6740"/>
    <w:rsid w:val="00EF5D5D"/>
    <w:rsid w:val="00F00A08"/>
    <w:rsid w:val="00F050C7"/>
    <w:rsid w:val="00F06DA1"/>
    <w:rsid w:val="00F2251B"/>
    <w:rsid w:val="00F31C8A"/>
    <w:rsid w:val="00F33A4F"/>
    <w:rsid w:val="00F34388"/>
    <w:rsid w:val="00F42920"/>
    <w:rsid w:val="00F42B68"/>
    <w:rsid w:val="00F452AF"/>
    <w:rsid w:val="00F4799D"/>
    <w:rsid w:val="00F47BC8"/>
    <w:rsid w:val="00F63489"/>
    <w:rsid w:val="00FB3D68"/>
    <w:rsid w:val="00FD5417"/>
    <w:rsid w:val="00FF49EB"/>
    <w:rsid w:val="09700ECE"/>
    <w:rsid w:val="10243DF3"/>
    <w:rsid w:val="1B7F05BF"/>
    <w:rsid w:val="27D033C3"/>
    <w:rsid w:val="29097942"/>
    <w:rsid w:val="2A080995"/>
    <w:rsid w:val="477B76CD"/>
    <w:rsid w:val="5B866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nhideWhenUsed="0" w:uiPriority="0" w:semiHidden="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8"/>
    <w:uiPriority w:val="0"/>
    <w:pPr>
      <w:spacing w:line="360" w:lineRule="exact"/>
      <w:ind w:left="360"/>
    </w:pPr>
    <w:rPr>
      <w:sz w:val="22"/>
      <w:szCs w:val="20"/>
    </w:rPr>
  </w:style>
  <w:style w:type="paragraph" w:styleId="3">
    <w:name w:val="Body Text Indent 2"/>
    <w:basedOn w:val="1"/>
    <w:link w:val="17"/>
    <w:uiPriority w:val="0"/>
    <w:pPr>
      <w:spacing w:line="360" w:lineRule="auto"/>
      <w:ind w:firstLine="7283" w:firstLineChars="1030"/>
    </w:pPr>
    <w:rPr>
      <w:rFonts w:ascii="黑体" w:eastAsia="黑体"/>
      <w:b/>
      <w:sz w:val="72"/>
      <w:szCs w:val="20"/>
    </w:rPr>
  </w:style>
  <w:style w:type="paragraph" w:styleId="4">
    <w:name w:val="Balloon Text"/>
    <w:basedOn w:val="1"/>
    <w:link w:val="14"/>
    <w:qFormat/>
    <w:uiPriority w:val="0"/>
    <w:rPr>
      <w:sz w:val="18"/>
      <w:szCs w:val="18"/>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19"/>
    <w:uiPriority w:val="0"/>
    <w:pPr>
      <w:spacing w:line="380" w:lineRule="exact"/>
      <w:ind w:firstLine="435"/>
    </w:pPr>
    <w:rPr>
      <w:rFonts w:eastAsia="黑体"/>
      <w:color w:val="000000"/>
      <w:szCs w:val="20"/>
    </w:rPr>
  </w:style>
  <w:style w:type="paragraph" w:styleId="8">
    <w:name w:val="Normal (Web)"/>
    <w:basedOn w:val="1"/>
    <w:qFormat/>
    <w:uiPriority w:val="0"/>
    <w:rPr>
      <w:sz w:val="24"/>
    </w:rPr>
  </w:style>
  <w:style w:type="character" w:styleId="11">
    <w:name w:val="page number"/>
    <w:basedOn w:val="10"/>
    <w:uiPriority w:val="0"/>
  </w:style>
  <w:style w:type="character" w:styleId="12">
    <w:name w:val="Hyperlink"/>
    <w:uiPriority w:val="0"/>
    <w:rPr>
      <w:color w:val="0000FF"/>
      <w:u w:val="single"/>
    </w:rPr>
  </w:style>
  <w:style w:type="paragraph" w:customStyle="1" w:styleId="13">
    <w:name w:val="正文1"/>
    <w:uiPriority w:val="0"/>
    <w:pPr>
      <w:jc w:val="both"/>
    </w:pPr>
    <w:rPr>
      <w:rFonts w:ascii="Times New Roman" w:hAnsi="Times New Roman" w:eastAsia="宋体" w:cs="Times New Roman"/>
      <w:kern w:val="2"/>
      <w:sz w:val="21"/>
      <w:szCs w:val="21"/>
      <w:lang w:val="en-US" w:eastAsia="zh-CN" w:bidi="ar-SA"/>
    </w:rPr>
  </w:style>
  <w:style w:type="character" w:customStyle="1" w:styleId="14">
    <w:name w:val="批注框文本 Char"/>
    <w:link w:val="4"/>
    <w:qFormat/>
    <w:uiPriority w:val="0"/>
    <w:rPr>
      <w:kern w:val="2"/>
      <w:sz w:val="18"/>
      <w:szCs w:val="18"/>
    </w:rPr>
  </w:style>
  <w:style w:type="paragraph" w:customStyle="1" w:styleId="15">
    <w:name w:val="正文11"/>
    <w:qFormat/>
    <w:uiPriority w:val="0"/>
    <w:pPr>
      <w:jc w:val="both"/>
    </w:pPr>
    <w:rPr>
      <w:rFonts w:ascii="Times New Roman" w:hAnsi="Times New Roman" w:eastAsia="宋体" w:cs="Times New Roman"/>
      <w:kern w:val="2"/>
      <w:sz w:val="21"/>
      <w:szCs w:val="21"/>
      <w:lang w:val="en-US" w:eastAsia="zh-CN" w:bidi="ar-SA"/>
    </w:rPr>
  </w:style>
  <w:style w:type="character" w:customStyle="1" w:styleId="16">
    <w:name w:val="页脚 Char"/>
    <w:link w:val="5"/>
    <w:uiPriority w:val="0"/>
    <w:rPr>
      <w:kern w:val="2"/>
      <w:sz w:val="18"/>
      <w:szCs w:val="18"/>
    </w:rPr>
  </w:style>
  <w:style w:type="character" w:customStyle="1" w:styleId="17">
    <w:name w:val="正文文本缩进 2 Char"/>
    <w:basedOn w:val="10"/>
    <w:link w:val="3"/>
    <w:uiPriority w:val="0"/>
    <w:rPr>
      <w:rFonts w:ascii="黑体" w:eastAsia="黑体"/>
      <w:b/>
      <w:kern w:val="2"/>
      <w:sz w:val="72"/>
    </w:rPr>
  </w:style>
  <w:style w:type="character" w:customStyle="1" w:styleId="18">
    <w:name w:val="正文文本缩进 Char"/>
    <w:basedOn w:val="10"/>
    <w:link w:val="2"/>
    <w:uiPriority w:val="0"/>
    <w:rPr>
      <w:kern w:val="2"/>
      <w:sz w:val="22"/>
    </w:rPr>
  </w:style>
  <w:style w:type="character" w:customStyle="1" w:styleId="19">
    <w:name w:val="正文文本缩进 3 Char"/>
    <w:basedOn w:val="10"/>
    <w:link w:val="7"/>
    <w:uiPriority w:val="0"/>
    <w:rPr>
      <w:rFonts w:eastAsia="黑体"/>
      <w:color w:val="000000"/>
      <w:kern w:val="2"/>
      <w:sz w:val="21"/>
    </w:rPr>
  </w:style>
  <w:style w:type="character" w:customStyle="1" w:styleId="20">
    <w:name w:val="页眉 Char"/>
    <w:link w:val="6"/>
    <w:uiPriority w:val="99"/>
    <w:rPr>
      <w:kern w:val="2"/>
      <w:sz w:val="18"/>
      <w:szCs w:val="18"/>
    </w:rPr>
  </w:style>
  <w:style w:type="paragraph" w:customStyle="1" w:styleId="21">
    <w:name w:val="列出段落1"/>
    <w:basedOn w:val="1"/>
    <w:qFormat/>
    <w:uiPriority w:val="34"/>
    <w:pPr>
      <w:ind w:firstLine="420" w:firstLineChars="200"/>
    </w:pPr>
  </w:style>
  <w:style w:type="paragraph" w:styleId="22">
    <w:name w:val="List Paragraph"/>
    <w:basedOn w:val="1"/>
    <w:qFormat/>
    <w:uiPriority w:val="34"/>
    <w:pPr>
      <w:ind w:firstLine="420" w:firstLineChars="200"/>
    </w:pPr>
  </w:style>
  <w:style w:type="paragraph" w:customStyle="1" w:styleId="23">
    <w:name w:val="正文2"/>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9636CE-912A-4BE3-9E52-5B38763E366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913</Words>
  <Characters>5207</Characters>
  <Lines>43</Lines>
  <Paragraphs>12</Paragraphs>
  <TotalTime>0</TotalTime>
  <ScaleCrop>false</ScaleCrop>
  <LinksUpToDate>false</LinksUpToDate>
  <CharactersWithSpaces>6108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2018-03-23T09:07:00Z</dcterms:created>
  <dc:creator>User</dc:creator>
  <cp:lastModifiedBy>Administrator</cp:lastModifiedBy>
  <dcterms:modified xsi:type="dcterms:W3CDTF">2020-01-14T02:09:26Z</dcterms:modified>
  <dc:title>合同编号：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